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81D0F" w14:textId="6A84CE22" w:rsidR="00CD0861" w:rsidRPr="009D332C" w:rsidRDefault="003645FB" w:rsidP="00D00CFE">
      <w:pPr>
        <w:pStyle w:val="Heading1"/>
        <w:jc w:val="center"/>
        <w:rPr>
          <w:b w:val="0"/>
        </w:rPr>
      </w:pPr>
      <w:bookmarkStart w:id="0" w:name="_Toc108011414"/>
      <w:r w:rsidRPr="009D332C">
        <w:t>Safer Guildford Partnership Plan</w:t>
      </w:r>
      <w:r w:rsidR="00D00CFE">
        <w:t xml:space="preserve"> </w:t>
      </w:r>
      <w:r w:rsidRPr="009D332C">
        <w:t>2021-2024</w:t>
      </w:r>
      <w:bookmarkEnd w:id="0"/>
    </w:p>
    <w:p w14:paraId="0816D57C" w14:textId="6F08A8FF" w:rsidR="003645FB" w:rsidRDefault="003645FB" w:rsidP="003645FB">
      <w:pPr>
        <w:spacing w:after="0"/>
        <w:jc w:val="center"/>
        <w:rPr>
          <w:rFonts w:cs="Arial"/>
          <w:b/>
          <w:bCs/>
          <w:sz w:val="32"/>
          <w:szCs w:val="32"/>
        </w:rPr>
      </w:pPr>
    </w:p>
    <w:p w14:paraId="4C7989A8" w14:textId="40CBFDE9" w:rsidR="003645FB" w:rsidRDefault="009D332C" w:rsidP="003645FB">
      <w:pPr>
        <w:spacing w:after="0"/>
        <w:jc w:val="center"/>
        <w:rPr>
          <w:rFonts w:cs="Arial"/>
          <w:b/>
          <w:bCs/>
          <w:sz w:val="32"/>
          <w:szCs w:val="32"/>
        </w:rPr>
      </w:pPr>
      <w:r>
        <w:rPr>
          <w:noProof/>
        </w:rPr>
        <w:drawing>
          <wp:inline distT="0" distB="0" distL="0" distR="0" wp14:anchorId="6CD8A29E" wp14:editId="0AC3D431">
            <wp:extent cx="1798320" cy="1531620"/>
            <wp:effectExtent l="0" t="0" r="0" b="0"/>
            <wp:docPr id="1" name="Picture 1" descr="Safer Guildford Logo with the words Partnership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afer Guildford Logo with the words Partnership Approa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8320" cy="1531620"/>
                    </a:xfrm>
                    <a:prstGeom prst="rect">
                      <a:avLst/>
                    </a:prstGeom>
                    <a:noFill/>
                    <a:ln>
                      <a:noFill/>
                    </a:ln>
                  </pic:spPr>
                </pic:pic>
              </a:graphicData>
            </a:graphic>
          </wp:inline>
        </w:drawing>
      </w:r>
    </w:p>
    <w:p w14:paraId="7E2E30F8" w14:textId="2CEEF17E" w:rsidR="003645FB" w:rsidRDefault="003645FB" w:rsidP="009D332C">
      <w:pPr>
        <w:tabs>
          <w:tab w:val="left" w:pos="4044"/>
        </w:tabs>
        <w:spacing w:after="0"/>
        <w:rPr>
          <w:rFonts w:cs="Arial"/>
          <w:b/>
          <w:bCs/>
          <w:sz w:val="32"/>
          <w:szCs w:val="32"/>
        </w:rPr>
      </w:pPr>
    </w:p>
    <w:p w14:paraId="12ED7940" w14:textId="70E7AD47" w:rsidR="003B7CCF" w:rsidRDefault="003B7CCF">
      <w:pPr>
        <w:pStyle w:val="TOC1"/>
        <w:tabs>
          <w:tab w:val="right" w:leader="dot" w:pos="9016"/>
        </w:tabs>
        <w:rPr>
          <w:rFonts w:asciiTheme="minorHAnsi" w:eastAsiaTheme="minorEastAsia" w:hAnsiTheme="minorHAnsi" w:cstheme="minorBidi"/>
          <w:noProof/>
          <w:sz w:val="22"/>
          <w:szCs w:val="22"/>
          <w:lang w:eastAsia="en-GB"/>
        </w:rPr>
      </w:pPr>
      <w:r>
        <w:rPr>
          <w:rFonts w:cs="Arial"/>
          <w:b/>
          <w:bCs/>
          <w:sz w:val="32"/>
          <w:szCs w:val="32"/>
        </w:rPr>
        <w:fldChar w:fldCharType="begin"/>
      </w:r>
      <w:r>
        <w:rPr>
          <w:rFonts w:cs="Arial"/>
          <w:b/>
          <w:bCs/>
          <w:sz w:val="32"/>
          <w:szCs w:val="32"/>
        </w:rPr>
        <w:instrText xml:space="preserve"> TOC \o "1-2" \h \z \u </w:instrText>
      </w:r>
      <w:r>
        <w:rPr>
          <w:rFonts w:cs="Arial"/>
          <w:b/>
          <w:bCs/>
          <w:sz w:val="32"/>
          <w:szCs w:val="32"/>
        </w:rPr>
        <w:fldChar w:fldCharType="separate"/>
      </w:r>
      <w:hyperlink w:anchor="_Toc108011414" w:history="1">
        <w:r w:rsidRPr="005A0657">
          <w:rPr>
            <w:rStyle w:val="Hyperlink"/>
            <w:rFonts w:eastAsiaTheme="majorEastAsia"/>
            <w:noProof/>
          </w:rPr>
          <w:t>Safer Guildford Partnership Plan 2021-2024</w:t>
        </w:r>
        <w:r>
          <w:rPr>
            <w:noProof/>
            <w:webHidden/>
          </w:rPr>
          <w:tab/>
        </w:r>
        <w:r>
          <w:rPr>
            <w:noProof/>
            <w:webHidden/>
          </w:rPr>
          <w:fldChar w:fldCharType="begin"/>
        </w:r>
        <w:r>
          <w:rPr>
            <w:noProof/>
            <w:webHidden/>
          </w:rPr>
          <w:instrText xml:space="preserve"> PAGEREF _Toc108011414 \h </w:instrText>
        </w:r>
        <w:r>
          <w:rPr>
            <w:noProof/>
            <w:webHidden/>
          </w:rPr>
        </w:r>
        <w:r>
          <w:rPr>
            <w:noProof/>
            <w:webHidden/>
          </w:rPr>
          <w:fldChar w:fldCharType="separate"/>
        </w:r>
        <w:r>
          <w:rPr>
            <w:noProof/>
            <w:webHidden/>
          </w:rPr>
          <w:t>1</w:t>
        </w:r>
        <w:r>
          <w:rPr>
            <w:noProof/>
            <w:webHidden/>
          </w:rPr>
          <w:fldChar w:fldCharType="end"/>
        </w:r>
      </w:hyperlink>
    </w:p>
    <w:p w14:paraId="3B514199" w14:textId="3C98DBF3" w:rsidR="003B7CCF" w:rsidRDefault="00D31BDC">
      <w:pPr>
        <w:pStyle w:val="TOC2"/>
        <w:tabs>
          <w:tab w:val="right" w:leader="dot" w:pos="9016"/>
        </w:tabs>
        <w:rPr>
          <w:rFonts w:asciiTheme="minorHAnsi" w:eastAsiaTheme="minorEastAsia" w:hAnsiTheme="minorHAnsi" w:cstheme="minorBidi"/>
          <w:noProof/>
          <w:sz w:val="22"/>
          <w:szCs w:val="22"/>
          <w:lang w:eastAsia="en-GB"/>
        </w:rPr>
      </w:pPr>
      <w:hyperlink w:anchor="_Toc108011415" w:history="1">
        <w:r w:rsidR="003B7CCF" w:rsidRPr="005A0657">
          <w:rPr>
            <w:rStyle w:val="Hyperlink"/>
            <w:rFonts w:eastAsiaTheme="majorEastAsia"/>
            <w:noProof/>
          </w:rPr>
          <w:t>Version Control Table</w:t>
        </w:r>
        <w:r w:rsidR="003B7CCF">
          <w:rPr>
            <w:noProof/>
            <w:webHidden/>
          </w:rPr>
          <w:tab/>
        </w:r>
        <w:r w:rsidR="003B7CCF">
          <w:rPr>
            <w:noProof/>
            <w:webHidden/>
          </w:rPr>
          <w:fldChar w:fldCharType="begin"/>
        </w:r>
        <w:r w:rsidR="003B7CCF">
          <w:rPr>
            <w:noProof/>
            <w:webHidden/>
          </w:rPr>
          <w:instrText xml:space="preserve"> PAGEREF _Toc108011415 \h </w:instrText>
        </w:r>
        <w:r w:rsidR="003B7CCF">
          <w:rPr>
            <w:noProof/>
            <w:webHidden/>
          </w:rPr>
        </w:r>
        <w:r w:rsidR="003B7CCF">
          <w:rPr>
            <w:noProof/>
            <w:webHidden/>
          </w:rPr>
          <w:fldChar w:fldCharType="separate"/>
        </w:r>
        <w:r w:rsidR="003B7CCF">
          <w:rPr>
            <w:noProof/>
            <w:webHidden/>
          </w:rPr>
          <w:t>1</w:t>
        </w:r>
        <w:r w:rsidR="003B7CCF">
          <w:rPr>
            <w:noProof/>
            <w:webHidden/>
          </w:rPr>
          <w:fldChar w:fldCharType="end"/>
        </w:r>
      </w:hyperlink>
    </w:p>
    <w:p w14:paraId="374E7103" w14:textId="06D6940E" w:rsidR="003B7CCF" w:rsidRDefault="00D31BDC">
      <w:pPr>
        <w:pStyle w:val="TOC2"/>
        <w:tabs>
          <w:tab w:val="right" w:leader="dot" w:pos="9016"/>
        </w:tabs>
        <w:rPr>
          <w:rFonts w:asciiTheme="minorHAnsi" w:eastAsiaTheme="minorEastAsia" w:hAnsiTheme="minorHAnsi" w:cstheme="minorBidi"/>
          <w:noProof/>
          <w:sz w:val="22"/>
          <w:szCs w:val="22"/>
          <w:lang w:eastAsia="en-GB"/>
        </w:rPr>
      </w:pPr>
      <w:hyperlink w:anchor="_Toc108011416" w:history="1">
        <w:r w:rsidR="003B7CCF" w:rsidRPr="005A0657">
          <w:rPr>
            <w:rStyle w:val="Hyperlink"/>
            <w:rFonts w:eastAsiaTheme="majorEastAsia"/>
            <w:noProof/>
          </w:rPr>
          <w:t>Background- the Community Safety Landscape in Surrey</w:t>
        </w:r>
        <w:r w:rsidR="003B7CCF">
          <w:rPr>
            <w:noProof/>
            <w:webHidden/>
          </w:rPr>
          <w:tab/>
        </w:r>
        <w:r w:rsidR="003B7CCF">
          <w:rPr>
            <w:noProof/>
            <w:webHidden/>
          </w:rPr>
          <w:fldChar w:fldCharType="begin"/>
        </w:r>
        <w:r w:rsidR="003B7CCF">
          <w:rPr>
            <w:noProof/>
            <w:webHidden/>
          </w:rPr>
          <w:instrText xml:space="preserve"> PAGEREF _Toc108011416 \h </w:instrText>
        </w:r>
        <w:r w:rsidR="003B7CCF">
          <w:rPr>
            <w:noProof/>
            <w:webHidden/>
          </w:rPr>
        </w:r>
        <w:r w:rsidR="003B7CCF">
          <w:rPr>
            <w:noProof/>
            <w:webHidden/>
          </w:rPr>
          <w:fldChar w:fldCharType="separate"/>
        </w:r>
        <w:r w:rsidR="003B7CCF">
          <w:rPr>
            <w:noProof/>
            <w:webHidden/>
          </w:rPr>
          <w:t>2</w:t>
        </w:r>
        <w:r w:rsidR="003B7CCF">
          <w:rPr>
            <w:noProof/>
            <w:webHidden/>
          </w:rPr>
          <w:fldChar w:fldCharType="end"/>
        </w:r>
      </w:hyperlink>
    </w:p>
    <w:p w14:paraId="57523F2E" w14:textId="2C05AAB4" w:rsidR="003B7CCF" w:rsidRDefault="00D31BDC">
      <w:pPr>
        <w:pStyle w:val="TOC2"/>
        <w:tabs>
          <w:tab w:val="right" w:leader="dot" w:pos="9016"/>
        </w:tabs>
        <w:rPr>
          <w:rFonts w:asciiTheme="minorHAnsi" w:eastAsiaTheme="minorEastAsia" w:hAnsiTheme="minorHAnsi" w:cstheme="minorBidi"/>
          <w:noProof/>
          <w:sz w:val="22"/>
          <w:szCs w:val="22"/>
          <w:lang w:eastAsia="en-GB"/>
        </w:rPr>
      </w:pPr>
      <w:hyperlink w:anchor="_Toc108011417" w:history="1">
        <w:r w:rsidR="003B7CCF" w:rsidRPr="005A0657">
          <w:rPr>
            <w:rStyle w:val="Hyperlink"/>
            <w:rFonts w:eastAsiaTheme="majorEastAsia"/>
            <w:noProof/>
          </w:rPr>
          <w:t>Introduction – Safer Guildford Partnership Plan</w:t>
        </w:r>
        <w:r w:rsidR="003B7CCF">
          <w:rPr>
            <w:noProof/>
            <w:webHidden/>
          </w:rPr>
          <w:tab/>
        </w:r>
        <w:r w:rsidR="003B7CCF">
          <w:rPr>
            <w:noProof/>
            <w:webHidden/>
          </w:rPr>
          <w:fldChar w:fldCharType="begin"/>
        </w:r>
        <w:r w:rsidR="003B7CCF">
          <w:rPr>
            <w:noProof/>
            <w:webHidden/>
          </w:rPr>
          <w:instrText xml:space="preserve"> PAGEREF _Toc108011417 \h </w:instrText>
        </w:r>
        <w:r w:rsidR="003B7CCF">
          <w:rPr>
            <w:noProof/>
            <w:webHidden/>
          </w:rPr>
        </w:r>
        <w:r w:rsidR="003B7CCF">
          <w:rPr>
            <w:noProof/>
            <w:webHidden/>
          </w:rPr>
          <w:fldChar w:fldCharType="separate"/>
        </w:r>
        <w:r w:rsidR="003B7CCF">
          <w:rPr>
            <w:noProof/>
            <w:webHidden/>
          </w:rPr>
          <w:t>3</w:t>
        </w:r>
        <w:r w:rsidR="003B7CCF">
          <w:rPr>
            <w:noProof/>
            <w:webHidden/>
          </w:rPr>
          <w:fldChar w:fldCharType="end"/>
        </w:r>
      </w:hyperlink>
    </w:p>
    <w:p w14:paraId="094E9F4E" w14:textId="2ABC6C88" w:rsidR="003B7CCF" w:rsidRDefault="00D31BDC">
      <w:pPr>
        <w:pStyle w:val="TOC2"/>
        <w:tabs>
          <w:tab w:val="right" w:leader="dot" w:pos="9016"/>
        </w:tabs>
        <w:rPr>
          <w:rFonts w:asciiTheme="minorHAnsi" w:eastAsiaTheme="minorEastAsia" w:hAnsiTheme="minorHAnsi" w:cstheme="minorBidi"/>
          <w:noProof/>
          <w:sz w:val="22"/>
          <w:szCs w:val="22"/>
          <w:lang w:eastAsia="en-GB"/>
        </w:rPr>
      </w:pPr>
      <w:hyperlink w:anchor="_Toc108011418" w:history="1">
        <w:r w:rsidR="003B7CCF" w:rsidRPr="005A0657">
          <w:rPr>
            <w:rStyle w:val="Hyperlink"/>
            <w:rFonts w:eastAsiaTheme="majorEastAsia"/>
            <w:noProof/>
          </w:rPr>
          <w:t>Legislation</w:t>
        </w:r>
        <w:r w:rsidR="003B7CCF">
          <w:rPr>
            <w:noProof/>
            <w:webHidden/>
          </w:rPr>
          <w:tab/>
        </w:r>
        <w:r w:rsidR="003B7CCF">
          <w:rPr>
            <w:noProof/>
            <w:webHidden/>
          </w:rPr>
          <w:fldChar w:fldCharType="begin"/>
        </w:r>
        <w:r w:rsidR="003B7CCF">
          <w:rPr>
            <w:noProof/>
            <w:webHidden/>
          </w:rPr>
          <w:instrText xml:space="preserve"> PAGEREF _Toc108011418 \h </w:instrText>
        </w:r>
        <w:r w:rsidR="003B7CCF">
          <w:rPr>
            <w:noProof/>
            <w:webHidden/>
          </w:rPr>
        </w:r>
        <w:r w:rsidR="003B7CCF">
          <w:rPr>
            <w:noProof/>
            <w:webHidden/>
          </w:rPr>
          <w:fldChar w:fldCharType="separate"/>
        </w:r>
        <w:r w:rsidR="003B7CCF">
          <w:rPr>
            <w:noProof/>
            <w:webHidden/>
          </w:rPr>
          <w:t>4</w:t>
        </w:r>
        <w:r w:rsidR="003B7CCF">
          <w:rPr>
            <w:noProof/>
            <w:webHidden/>
          </w:rPr>
          <w:fldChar w:fldCharType="end"/>
        </w:r>
      </w:hyperlink>
    </w:p>
    <w:p w14:paraId="284233C7" w14:textId="04BB66C1" w:rsidR="003B7CCF" w:rsidRDefault="00D31BDC">
      <w:pPr>
        <w:pStyle w:val="TOC2"/>
        <w:tabs>
          <w:tab w:val="right" w:leader="dot" w:pos="9016"/>
        </w:tabs>
        <w:rPr>
          <w:rFonts w:asciiTheme="minorHAnsi" w:eastAsiaTheme="minorEastAsia" w:hAnsiTheme="minorHAnsi" w:cstheme="minorBidi"/>
          <w:noProof/>
          <w:sz w:val="22"/>
          <w:szCs w:val="22"/>
          <w:lang w:eastAsia="en-GB"/>
        </w:rPr>
      </w:pPr>
      <w:hyperlink w:anchor="_Toc108011419" w:history="1">
        <w:r w:rsidR="003B7CCF" w:rsidRPr="005A0657">
          <w:rPr>
            <w:rStyle w:val="Hyperlink"/>
            <w:rFonts w:eastAsiaTheme="majorEastAsia"/>
            <w:noProof/>
          </w:rPr>
          <w:t>Safer Guildford Partnership Priorities 2021-24</w:t>
        </w:r>
        <w:r w:rsidR="003B7CCF">
          <w:rPr>
            <w:noProof/>
            <w:webHidden/>
          </w:rPr>
          <w:tab/>
        </w:r>
        <w:r w:rsidR="003B7CCF">
          <w:rPr>
            <w:noProof/>
            <w:webHidden/>
          </w:rPr>
          <w:fldChar w:fldCharType="begin"/>
        </w:r>
        <w:r w:rsidR="003B7CCF">
          <w:rPr>
            <w:noProof/>
            <w:webHidden/>
          </w:rPr>
          <w:instrText xml:space="preserve"> PAGEREF _Toc108011419 \h </w:instrText>
        </w:r>
        <w:r w:rsidR="003B7CCF">
          <w:rPr>
            <w:noProof/>
            <w:webHidden/>
          </w:rPr>
        </w:r>
        <w:r w:rsidR="003B7CCF">
          <w:rPr>
            <w:noProof/>
            <w:webHidden/>
          </w:rPr>
          <w:fldChar w:fldCharType="separate"/>
        </w:r>
        <w:r w:rsidR="003B7CCF">
          <w:rPr>
            <w:noProof/>
            <w:webHidden/>
          </w:rPr>
          <w:t>5</w:t>
        </w:r>
        <w:r w:rsidR="003B7CCF">
          <w:rPr>
            <w:noProof/>
            <w:webHidden/>
          </w:rPr>
          <w:fldChar w:fldCharType="end"/>
        </w:r>
      </w:hyperlink>
    </w:p>
    <w:p w14:paraId="1D41543C" w14:textId="0EC914DD" w:rsidR="008C26D6" w:rsidRDefault="003B7CCF" w:rsidP="003645FB">
      <w:pPr>
        <w:spacing w:after="0"/>
        <w:jc w:val="center"/>
        <w:rPr>
          <w:rFonts w:cs="Arial"/>
          <w:b/>
          <w:bCs/>
          <w:sz w:val="32"/>
          <w:szCs w:val="32"/>
        </w:rPr>
      </w:pPr>
      <w:r>
        <w:rPr>
          <w:rFonts w:cs="Arial"/>
          <w:b/>
          <w:bCs/>
          <w:sz w:val="32"/>
          <w:szCs w:val="32"/>
        </w:rPr>
        <w:fldChar w:fldCharType="end"/>
      </w:r>
    </w:p>
    <w:p w14:paraId="532ECF8B" w14:textId="0642671B" w:rsidR="009D332C" w:rsidRDefault="009D332C" w:rsidP="008C26D6">
      <w:pPr>
        <w:pStyle w:val="Heading2"/>
      </w:pPr>
      <w:bookmarkStart w:id="1" w:name="_Toc108011415"/>
      <w:r>
        <w:t>Version Control</w:t>
      </w:r>
      <w:r w:rsidR="008C26D6">
        <w:t xml:space="preserve"> Table</w:t>
      </w:r>
      <w:bookmarkEnd w:id="1"/>
    </w:p>
    <w:tbl>
      <w:tblPr>
        <w:tblStyle w:val="TableGrid"/>
        <w:tblW w:w="0" w:type="auto"/>
        <w:tblLook w:val="04A0" w:firstRow="1" w:lastRow="0" w:firstColumn="1" w:lastColumn="0" w:noHBand="0" w:noVBand="1"/>
      </w:tblPr>
      <w:tblGrid>
        <w:gridCol w:w="1838"/>
        <w:gridCol w:w="2977"/>
        <w:gridCol w:w="4201"/>
      </w:tblGrid>
      <w:tr w:rsidR="001F5733" w14:paraId="2CAEF163" w14:textId="77777777" w:rsidTr="008C26D6">
        <w:tc>
          <w:tcPr>
            <w:tcW w:w="1838" w:type="dxa"/>
          </w:tcPr>
          <w:p w14:paraId="6B464E84" w14:textId="27C181FA" w:rsidR="001F5733" w:rsidRPr="008C26D6" w:rsidRDefault="001F5733" w:rsidP="003645FB">
            <w:pPr>
              <w:spacing w:after="0"/>
              <w:jc w:val="center"/>
              <w:rPr>
                <w:rFonts w:asciiTheme="minorHAnsi" w:hAnsiTheme="minorHAnsi" w:cstheme="minorHAnsi"/>
                <w:sz w:val="32"/>
                <w:szCs w:val="32"/>
              </w:rPr>
            </w:pPr>
            <w:r w:rsidRPr="008C26D6">
              <w:rPr>
                <w:rFonts w:asciiTheme="minorHAnsi" w:hAnsiTheme="minorHAnsi" w:cstheme="minorHAnsi"/>
                <w:sz w:val="32"/>
                <w:szCs w:val="32"/>
              </w:rPr>
              <w:t>Version</w:t>
            </w:r>
          </w:p>
        </w:tc>
        <w:tc>
          <w:tcPr>
            <w:tcW w:w="2977" w:type="dxa"/>
          </w:tcPr>
          <w:p w14:paraId="033EFDCA" w14:textId="6775C6A5" w:rsidR="001F5733" w:rsidRPr="008C26D6" w:rsidRDefault="001F5733" w:rsidP="003645FB">
            <w:pPr>
              <w:spacing w:after="0"/>
              <w:jc w:val="center"/>
              <w:rPr>
                <w:rFonts w:asciiTheme="minorHAnsi" w:hAnsiTheme="minorHAnsi" w:cstheme="minorHAnsi"/>
                <w:sz w:val="32"/>
                <w:szCs w:val="32"/>
              </w:rPr>
            </w:pPr>
            <w:r w:rsidRPr="008C26D6">
              <w:rPr>
                <w:rFonts w:asciiTheme="minorHAnsi" w:hAnsiTheme="minorHAnsi" w:cstheme="minorHAnsi"/>
                <w:sz w:val="32"/>
                <w:szCs w:val="32"/>
              </w:rPr>
              <w:t>Date</w:t>
            </w:r>
          </w:p>
        </w:tc>
        <w:tc>
          <w:tcPr>
            <w:tcW w:w="4201" w:type="dxa"/>
          </w:tcPr>
          <w:p w14:paraId="229AEE26" w14:textId="1610BB6D" w:rsidR="001F5733" w:rsidRPr="008C26D6" w:rsidRDefault="001F5733" w:rsidP="003645FB">
            <w:pPr>
              <w:spacing w:after="0"/>
              <w:jc w:val="center"/>
              <w:rPr>
                <w:rFonts w:asciiTheme="minorHAnsi" w:hAnsiTheme="minorHAnsi" w:cstheme="minorHAnsi"/>
                <w:sz w:val="32"/>
                <w:szCs w:val="32"/>
              </w:rPr>
            </w:pPr>
            <w:r w:rsidRPr="008C26D6">
              <w:rPr>
                <w:rFonts w:asciiTheme="minorHAnsi" w:hAnsiTheme="minorHAnsi" w:cstheme="minorHAnsi"/>
                <w:sz w:val="32"/>
                <w:szCs w:val="32"/>
              </w:rPr>
              <w:t>Changes</w:t>
            </w:r>
          </w:p>
        </w:tc>
      </w:tr>
      <w:tr w:rsidR="001F5733" w14:paraId="244BE927" w14:textId="77777777" w:rsidTr="008C26D6">
        <w:tc>
          <w:tcPr>
            <w:tcW w:w="1838" w:type="dxa"/>
          </w:tcPr>
          <w:p w14:paraId="73671233" w14:textId="0F3C4AB9" w:rsidR="001F5733" w:rsidRPr="008C26D6" w:rsidRDefault="001F5733" w:rsidP="003645FB">
            <w:pPr>
              <w:spacing w:after="0"/>
              <w:jc w:val="center"/>
              <w:rPr>
                <w:rFonts w:asciiTheme="minorHAnsi" w:hAnsiTheme="minorHAnsi" w:cstheme="minorHAnsi"/>
                <w:sz w:val="32"/>
                <w:szCs w:val="32"/>
              </w:rPr>
            </w:pPr>
            <w:r w:rsidRPr="008C26D6">
              <w:rPr>
                <w:rFonts w:asciiTheme="minorHAnsi" w:hAnsiTheme="minorHAnsi" w:cstheme="minorHAnsi"/>
                <w:sz w:val="32"/>
                <w:szCs w:val="32"/>
              </w:rPr>
              <w:t>1</w:t>
            </w:r>
          </w:p>
        </w:tc>
        <w:tc>
          <w:tcPr>
            <w:tcW w:w="2977" w:type="dxa"/>
          </w:tcPr>
          <w:p w14:paraId="54321866" w14:textId="20099961" w:rsidR="001F5733" w:rsidRPr="008C26D6" w:rsidRDefault="001F5733" w:rsidP="003645FB">
            <w:pPr>
              <w:spacing w:after="0"/>
              <w:jc w:val="center"/>
              <w:rPr>
                <w:rFonts w:asciiTheme="minorHAnsi" w:hAnsiTheme="minorHAnsi" w:cstheme="minorHAnsi"/>
                <w:sz w:val="32"/>
                <w:szCs w:val="32"/>
              </w:rPr>
            </w:pPr>
            <w:r w:rsidRPr="008C26D6">
              <w:rPr>
                <w:rFonts w:asciiTheme="minorHAnsi" w:hAnsiTheme="minorHAnsi" w:cstheme="minorHAnsi"/>
                <w:sz w:val="32"/>
                <w:szCs w:val="32"/>
              </w:rPr>
              <w:t>1 September 2021</w:t>
            </w:r>
          </w:p>
        </w:tc>
        <w:tc>
          <w:tcPr>
            <w:tcW w:w="4201" w:type="dxa"/>
          </w:tcPr>
          <w:p w14:paraId="20DEF439" w14:textId="35B98B78" w:rsidR="001F5733" w:rsidRPr="008C26D6" w:rsidRDefault="00314844" w:rsidP="003645FB">
            <w:pPr>
              <w:spacing w:after="0"/>
              <w:jc w:val="center"/>
              <w:rPr>
                <w:rFonts w:asciiTheme="minorHAnsi" w:hAnsiTheme="minorHAnsi" w:cstheme="minorHAnsi"/>
                <w:sz w:val="32"/>
                <w:szCs w:val="32"/>
              </w:rPr>
            </w:pPr>
            <w:r w:rsidRPr="008C26D6">
              <w:rPr>
                <w:rFonts w:asciiTheme="minorHAnsi" w:hAnsiTheme="minorHAnsi" w:cstheme="minorHAnsi"/>
                <w:sz w:val="32"/>
                <w:szCs w:val="32"/>
              </w:rPr>
              <w:t>Approved SGP Executive September 2021</w:t>
            </w:r>
          </w:p>
        </w:tc>
      </w:tr>
    </w:tbl>
    <w:p w14:paraId="611B34F8" w14:textId="77777777" w:rsidR="009D332C" w:rsidRDefault="009D332C">
      <w:pPr>
        <w:spacing w:after="160" w:line="259" w:lineRule="auto"/>
        <w:rPr>
          <w:rFonts w:cs="Arial"/>
          <w:b/>
          <w:bCs/>
          <w:sz w:val="32"/>
          <w:szCs w:val="32"/>
        </w:rPr>
      </w:pPr>
      <w:r>
        <w:rPr>
          <w:rFonts w:cs="Arial"/>
          <w:b/>
          <w:bCs/>
          <w:sz w:val="32"/>
          <w:szCs w:val="32"/>
        </w:rPr>
        <w:br w:type="page"/>
      </w:r>
    </w:p>
    <w:p w14:paraId="289F7793" w14:textId="71BB41C8" w:rsidR="009D332C" w:rsidRDefault="008C7F17" w:rsidP="008C26D6">
      <w:pPr>
        <w:pStyle w:val="Heading2"/>
      </w:pPr>
      <w:bookmarkStart w:id="2" w:name="_Toc108011416"/>
      <w:r>
        <w:lastRenderedPageBreak/>
        <w:t>Background- the Community Safety Landscape in Surrey</w:t>
      </w:r>
      <w:bookmarkEnd w:id="2"/>
    </w:p>
    <w:p w14:paraId="382E4923" w14:textId="77777777" w:rsidR="00AF78B3" w:rsidRDefault="008C7F17" w:rsidP="00AF78B3">
      <w:r>
        <w:t>Community safety is best described as an aspect of our quality of life in which individuals and communities are protected from, equipped to cope with, and have increased capacity to resist, crime and anti-social behaviour.</w:t>
      </w:r>
    </w:p>
    <w:p w14:paraId="4B728773" w14:textId="28AAB6A9" w:rsidR="00717757" w:rsidRDefault="008C7F17" w:rsidP="00AF78B3">
      <w:r w:rsidRPr="000A45DF">
        <w:rPr>
          <w:rFonts w:cs="Arial"/>
          <w:szCs w:val="22"/>
        </w:rPr>
        <w:t xml:space="preserve">Surrey is a </w:t>
      </w:r>
      <w:r w:rsidRPr="000A45DF">
        <w:t>two</w:t>
      </w:r>
      <w:r>
        <w:t xml:space="preserve">-tier local authority area meaning we have a county council and local borough and district councils. To meet our statutory duties, there is a county strategy group for community safety that brings together all district, borough, and relevant partners responsible for community safety activity. Following the merger of the Surrey Community Safety Board and the Surrey Health and Wellbeing Board (HWBB) in March 2020, the HWBB now performs this function. </w:t>
      </w:r>
    </w:p>
    <w:p w14:paraId="41BFB6BC" w14:textId="5777CB66" w:rsidR="001E38A7" w:rsidRDefault="008C7F17" w:rsidP="001E38A7">
      <w:r>
        <w:t xml:space="preserve">The Health and Wellbeing Board launched the first countywide </w:t>
      </w:r>
      <w:r w:rsidRPr="00717AFE">
        <w:t>Community Safety Agreement</w:t>
      </w:r>
      <w:r>
        <w:t xml:space="preserve"> in 2021</w:t>
      </w:r>
      <w:r w:rsidR="00717AFE">
        <w:t xml:space="preserve"> which can be found </w:t>
      </w:r>
      <w:hyperlink r:id="rId7" w:history="1">
        <w:r w:rsidR="00717AFE" w:rsidRPr="00717AFE">
          <w:rPr>
            <w:rStyle w:val="Hyperlink"/>
          </w:rPr>
          <w:t>here</w:t>
        </w:r>
      </w:hyperlink>
      <w:r>
        <w:t xml:space="preserve">. </w:t>
      </w:r>
    </w:p>
    <w:p w14:paraId="661AB0F3" w14:textId="1EFF4325" w:rsidR="008C7F17" w:rsidRDefault="001E38A7" w:rsidP="001E38A7">
      <w:r>
        <w:t>S</w:t>
      </w:r>
      <w:r w:rsidR="008C7F17">
        <w:t xml:space="preserve">urrey County Council has a Community Safety Team with Officers supporting the borough and district Community Safety Partnerships (CSP’s). </w:t>
      </w:r>
    </w:p>
    <w:p w14:paraId="7FD87C2E" w14:textId="58EE5478" w:rsidR="008C7F17" w:rsidRDefault="008C7F17" w:rsidP="001E38A7">
      <w:pPr>
        <w:rPr>
          <w:rFonts w:cs="Arial"/>
          <w:shd w:val="clear" w:color="auto" w:fill="FFFFFF"/>
        </w:rPr>
      </w:pPr>
      <w:r w:rsidRPr="003F358B">
        <w:rPr>
          <w:rFonts w:cs="Arial"/>
          <w:shd w:val="clear" w:color="auto" w:fill="FFFFFF"/>
        </w:rPr>
        <w:t>The S</w:t>
      </w:r>
      <w:r>
        <w:rPr>
          <w:rFonts w:cs="Arial"/>
          <w:shd w:val="clear" w:color="auto" w:fill="FFFFFF"/>
        </w:rPr>
        <w:t>afer Guildford Partnership (SGP)</w:t>
      </w:r>
      <w:r w:rsidRPr="003F358B">
        <w:rPr>
          <w:rFonts w:cs="Arial"/>
          <w:shd w:val="clear" w:color="auto" w:fill="FFFFFF"/>
        </w:rPr>
        <w:t xml:space="preserve"> is the local</w:t>
      </w:r>
      <w:r w:rsidR="00717757">
        <w:rPr>
          <w:rFonts w:cs="Arial"/>
          <w:shd w:val="clear" w:color="auto" w:fill="FFFFFF"/>
        </w:rPr>
        <w:t xml:space="preserve"> (borough)</w:t>
      </w:r>
      <w:r w:rsidRPr="003F358B">
        <w:rPr>
          <w:rFonts w:cs="Arial"/>
          <w:shd w:val="clear" w:color="auto" w:fill="FFFFFF"/>
        </w:rPr>
        <w:t xml:space="preserve"> community safety partnership which, brings together both statutory and non-statutory strategic partners. </w:t>
      </w:r>
      <w:r>
        <w:rPr>
          <w:rFonts w:cs="Arial"/>
          <w:shd w:val="clear" w:color="auto" w:fill="FFFFFF"/>
        </w:rPr>
        <w:t>Full m</w:t>
      </w:r>
      <w:r w:rsidRPr="003F358B">
        <w:rPr>
          <w:rFonts w:cs="Arial"/>
          <w:shd w:val="clear" w:color="auto" w:fill="FFFFFF"/>
        </w:rPr>
        <w:t xml:space="preserve">embership of the Partnership can be found </w:t>
      </w:r>
      <w:hyperlink r:id="rId8" w:history="1">
        <w:r>
          <w:rPr>
            <w:rFonts w:cs="Arial"/>
            <w:color w:val="0000FF"/>
            <w:u w:val="single"/>
            <w:shd w:val="clear" w:color="auto" w:fill="FFFFFF"/>
          </w:rPr>
          <w:t>here</w:t>
        </w:r>
      </w:hyperlink>
      <w:r w:rsidRPr="003F358B">
        <w:rPr>
          <w:rFonts w:cs="Arial"/>
          <w:shd w:val="clear" w:color="auto" w:fill="FFFFFF"/>
        </w:rPr>
        <w:t xml:space="preserve">. </w:t>
      </w:r>
    </w:p>
    <w:p w14:paraId="1EA748AB" w14:textId="77777777" w:rsidR="008C7F17" w:rsidRDefault="008C7F17" w:rsidP="001E38A7">
      <w:r>
        <w:t>The Partnership is represented by the following statutory partners:</w:t>
      </w:r>
    </w:p>
    <w:p w14:paraId="766D99E0" w14:textId="096CD68E" w:rsidR="008C7F17" w:rsidRPr="001E38A7" w:rsidRDefault="008C7F17" w:rsidP="001E38A7">
      <w:pPr>
        <w:pStyle w:val="ListBullet"/>
      </w:pPr>
      <w:r w:rsidRPr="001E38A7">
        <w:t>Local authority</w:t>
      </w:r>
      <w:r w:rsidR="00C101E4" w:rsidRPr="001E38A7">
        <w:t xml:space="preserve"> (Chair)</w:t>
      </w:r>
    </w:p>
    <w:p w14:paraId="65B512B8" w14:textId="77777777" w:rsidR="008C7F17" w:rsidRPr="001E38A7" w:rsidRDefault="008C7F17" w:rsidP="001E38A7">
      <w:pPr>
        <w:pStyle w:val="ListBullet"/>
      </w:pPr>
      <w:r w:rsidRPr="001E38A7">
        <w:t xml:space="preserve">Police </w:t>
      </w:r>
    </w:p>
    <w:p w14:paraId="6E9C0FDB" w14:textId="77777777" w:rsidR="008C7F17" w:rsidRPr="001E38A7" w:rsidRDefault="008C7F17" w:rsidP="001E38A7">
      <w:pPr>
        <w:pStyle w:val="ListBullet"/>
      </w:pPr>
      <w:r w:rsidRPr="001E38A7">
        <w:t>Fire and rescue authority</w:t>
      </w:r>
    </w:p>
    <w:p w14:paraId="74193DCA" w14:textId="77777777" w:rsidR="008C7F17" w:rsidRPr="001E38A7" w:rsidRDefault="008C7F17" w:rsidP="001E38A7">
      <w:pPr>
        <w:pStyle w:val="ListBullet"/>
      </w:pPr>
      <w:r w:rsidRPr="001E38A7">
        <w:t>Clinical Commissioning Group (CCG)</w:t>
      </w:r>
    </w:p>
    <w:p w14:paraId="07646AB1" w14:textId="5EEA9198" w:rsidR="00C543A7" w:rsidRDefault="008C7F17" w:rsidP="001E38A7">
      <w:pPr>
        <w:pStyle w:val="ListBullet"/>
      </w:pPr>
      <w:r w:rsidRPr="001E38A7">
        <w:t>Probation Service</w:t>
      </w:r>
    </w:p>
    <w:p w14:paraId="67E050E7" w14:textId="77777777" w:rsidR="00C543A7" w:rsidRDefault="00C543A7">
      <w:pPr>
        <w:spacing w:after="160" w:line="259" w:lineRule="auto"/>
      </w:pPr>
      <w:r>
        <w:br w:type="page"/>
      </w:r>
    </w:p>
    <w:p w14:paraId="1632A64F" w14:textId="31D76AD5" w:rsidR="008C7F17" w:rsidRPr="008C7F17" w:rsidRDefault="008C7F17" w:rsidP="00B00CFC">
      <w:pPr>
        <w:pStyle w:val="Heading2"/>
      </w:pPr>
      <w:bookmarkStart w:id="3" w:name="_Toc108011417"/>
      <w:r>
        <w:lastRenderedPageBreak/>
        <w:t>Introduction – Safer Guildford Partnership Plan</w:t>
      </w:r>
      <w:bookmarkEnd w:id="3"/>
    </w:p>
    <w:p w14:paraId="707E63FA" w14:textId="2C2C6E8E" w:rsidR="005D3A87" w:rsidRDefault="002B732A" w:rsidP="00B00CFC">
      <w:pPr>
        <w:rPr>
          <w:shd w:val="clear" w:color="auto" w:fill="FFFFFF"/>
        </w:rPr>
      </w:pPr>
      <w:r>
        <w:rPr>
          <w:shd w:val="clear" w:color="auto" w:fill="FFFFFF"/>
        </w:rPr>
        <w:t xml:space="preserve">This document sets out how the </w:t>
      </w:r>
      <w:r w:rsidR="005D3A87">
        <w:rPr>
          <w:shd w:val="clear" w:color="auto" w:fill="FFFFFF"/>
        </w:rPr>
        <w:t>‘</w:t>
      </w:r>
      <w:r>
        <w:rPr>
          <w:shd w:val="clear" w:color="auto" w:fill="FFFFFF"/>
        </w:rPr>
        <w:t>responsible authorities</w:t>
      </w:r>
      <w:r w:rsidR="005D3A87">
        <w:rPr>
          <w:shd w:val="clear" w:color="auto" w:fill="FFFFFF"/>
        </w:rPr>
        <w:t>’ (statutory partners)</w:t>
      </w:r>
      <w:r>
        <w:rPr>
          <w:shd w:val="clear" w:color="auto" w:fill="FFFFFF"/>
        </w:rPr>
        <w:t xml:space="preserve"> who make up the S</w:t>
      </w:r>
      <w:r w:rsidR="008C7F17">
        <w:rPr>
          <w:shd w:val="clear" w:color="auto" w:fill="FFFFFF"/>
        </w:rPr>
        <w:t>GP</w:t>
      </w:r>
      <w:r w:rsidR="005D3A87">
        <w:rPr>
          <w:shd w:val="clear" w:color="auto" w:fill="FFFFFF"/>
        </w:rPr>
        <w:t>,</w:t>
      </w:r>
      <w:r>
        <w:rPr>
          <w:shd w:val="clear" w:color="auto" w:fill="FFFFFF"/>
        </w:rPr>
        <w:t xml:space="preserve"> will work together</w:t>
      </w:r>
      <w:r w:rsidR="005D3A87">
        <w:rPr>
          <w:shd w:val="clear" w:color="auto" w:fill="FFFFFF"/>
        </w:rPr>
        <w:t xml:space="preserve"> to reduce crime and disorder in Guildford. </w:t>
      </w:r>
      <w:r>
        <w:rPr>
          <w:shd w:val="clear" w:color="auto" w:fill="FFFFFF"/>
        </w:rPr>
        <w:t xml:space="preserve"> </w:t>
      </w:r>
      <w:r w:rsidR="005D3A87">
        <w:rPr>
          <w:shd w:val="clear" w:color="auto" w:fill="FFFFFF"/>
        </w:rPr>
        <w:t xml:space="preserve">Our priorities are shared by all statutory </w:t>
      </w:r>
      <w:proofErr w:type="gramStart"/>
      <w:r w:rsidR="005D3A87">
        <w:rPr>
          <w:shd w:val="clear" w:color="auto" w:fill="FFFFFF"/>
        </w:rPr>
        <w:t>partners</w:t>
      </w:r>
      <w:proofErr w:type="gramEnd"/>
      <w:r w:rsidR="005D3A87">
        <w:rPr>
          <w:shd w:val="clear" w:color="auto" w:fill="FFFFFF"/>
        </w:rPr>
        <w:t xml:space="preserve"> and we work </w:t>
      </w:r>
      <w:r>
        <w:rPr>
          <w:shd w:val="clear" w:color="auto" w:fill="FFFFFF"/>
        </w:rPr>
        <w:t>alongside community and voluntary sector partners</w:t>
      </w:r>
      <w:r w:rsidR="005D3A87">
        <w:rPr>
          <w:shd w:val="clear" w:color="auto" w:fill="FFFFFF"/>
        </w:rPr>
        <w:t>.</w:t>
      </w:r>
    </w:p>
    <w:p w14:paraId="393347C8" w14:textId="0D3A2959" w:rsidR="003F358B" w:rsidRPr="003F358B" w:rsidRDefault="003F358B" w:rsidP="00B00CFC">
      <w:pPr>
        <w:rPr>
          <w:rFonts w:ascii="Times New Roman" w:hAnsi="Times New Roman"/>
          <w:color w:val="000000"/>
          <w:shd w:val="clear" w:color="auto" w:fill="FFFFFF"/>
          <w:lang w:eastAsia="en-GB"/>
        </w:rPr>
      </w:pPr>
      <w:r w:rsidRPr="003F358B">
        <w:rPr>
          <w:lang w:eastAsia="en-GB"/>
        </w:rPr>
        <w:t xml:space="preserve">The range of problems and behaviours </w:t>
      </w:r>
      <w:r w:rsidR="005D3A87">
        <w:rPr>
          <w:lang w:eastAsia="en-GB"/>
        </w:rPr>
        <w:t>involved in</w:t>
      </w:r>
      <w:r w:rsidRPr="003F358B">
        <w:rPr>
          <w:lang w:eastAsia="en-GB"/>
        </w:rPr>
        <w:t xml:space="preserve"> community safety is</w:t>
      </w:r>
      <w:r w:rsidR="002B732A">
        <w:rPr>
          <w:lang w:eastAsia="en-GB"/>
        </w:rPr>
        <w:t xml:space="preserve"> </w:t>
      </w:r>
      <w:r w:rsidRPr="003F358B">
        <w:rPr>
          <w:lang w:eastAsia="en-GB"/>
        </w:rPr>
        <w:t xml:space="preserve">varied and </w:t>
      </w:r>
      <w:r w:rsidR="00B26CD3">
        <w:rPr>
          <w:lang w:eastAsia="en-GB"/>
        </w:rPr>
        <w:t xml:space="preserve">sometimes </w:t>
      </w:r>
      <w:r w:rsidRPr="003F358B">
        <w:rPr>
          <w:lang w:eastAsia="en-GB"/>
        </w:rPr>
        <w:t xml:space="preserve">complex. This requires strong multi agency partnership working, effective communication and often complex problem-solving approaches. </w:t>
      </w:r>
    </w:p>
    <w:p w14:paraId="1097F8AB" w14:textId="5BE6E7C3" w:rsidR="00835057" w:rsidRPr="003F358B" w:rsidRDefault="00835057" w:rsidP="00B00CFC">
      <w:r>
        <w:rPr>
          <w:color w:val="000000"/>
          <w:shd w:val="clear" w:color="auto" w:fill="FFFFFF"/>
        </w:rPr>
        <w:t xml:space="preserve">Our </w:t>
      </w:r>
      <w:r w:rsidR="00B26CD3">
        <w:rPr>
          <w:color w:val="000000"/>
          <w:shd w:val="clear" w:color="auto" w:fill="FFFFFF"/>
        </w:rPr>
        <w:t>3-year</w:t>
      </w:r>
      <w:r>
        <w:rPr>
          <w:color w:val="000000"/>
          <w:shd w:val="clear" w:color="auto" w:fill="FFFFFF"/>
        </w:rPr>
        <w:t xml:space="preserve"> plan </w:t>
      </w:r>
      <w:r w:rsidR="003F358B" w:rsidRPr="003F358B">
        <w:rPr>
          <w:color w:val="000000"/>
          <w:shd w:val="clear" w:color="auto" w:fill="FFFFFF"/>
        </w:rPr>
        <w:t xml:space="preserve">sets </w:t>
      </w:r>
      <w:r>
        <w:rPr>
          <w:color w:val="000000"/>
          <w:shd w:val="clear" w:color="auto" w:fill="FFFFFF"/>
        </w:rPr>
        <w:t xml:space="preserve">our priorities for </w:t>
      </w:r>
      <w:r w:rsidR="002B732A">
        <w:rPr>
          <w:color w:val="000000"/>
          <w:shd w:val="clear" w:color="auto" w:fill="FFFFFF"/>
        </w:rPr>
        <w:t>deliver</w:t>
      </w:r>
      <w:r w:rsidR="00B26CD3">
        <w:rPr>
          <w:color w:val="000000"/>
          <w:shd w:val="clear" w:color="auto" w:fill="FFFFFF"/>
        </w:rPr>
        <w:t>ing our</w:t>
      </w:r>
      <w:r w:rsidR="002B732A">
        <w:rPr>
          <w:color w:val="000000"/>
          <w:shd w:val="clear" w:color="auto" w:fill="FFFFFF"/>
        </w:rPr>
        <w:t xml:space="preserve"> annual action plan</w:t>
      </w:r>
      <w:r>
        <w:rPr>
          <w:color w:val="000000"/>
          <w:shd w:val="clear" w:color="auto" w:fill="FFFFFF"/>
        </w:rPr>
        <w:t xml:space="preserve">, </w:t>
      </w:r>
      <w:r w:rsidRPr="003F358B">
        <w:t>directing partnership resources effectively, to where they are most needed</w:t>
      </w:r>
      <w:r w:rsidR="009B00C9">
        <w:t>.</w:t>
      </w:r>
    </w:p>
    <w:p w14:paraId="0D77D02B" w14:textId="0D537FA0" w:rsidR="003F358B" w:rsidRPr="003F358B" w:rsidRDefault="003F358B" w:rsidP="00B00CFC">
      <w:pPr>
        <w:rPr>
          <w:color w:val="000000"/>
          <w:shd w:val="clear" w:color="auto" w:fill="FFFFFF"/>
        </w:rPr>
      </w:pPr>
      <w:r w:rsidRPr="003F358B">
        <w:rPr>
          <w:color w:val="000000"/>
          <w:shd w:val="clear" w:color="auto" w:fill="FFFFFF"/>
        </w:rPr>
        <w:t>T</w:t>
      </w:r>
      <w:r w:rsidR="00835057">
        <w:rPr>
          <w:color w:val="000000"/>
          <w:shd w:val="clear" w:color="auto" w:fill="FFFFFF"/>
        </w:rPr>
        <w:t>o support delivery</w:t>
      </w:r>
      <w:r w:rsidR="00B26CD3">
        <w:rPr>
          <w:color w:val="000000"/>
          <w:shd w:val="clear" w:color="auto" w:fill="FFFFFF"/>
        </w:rPr>
        <w:t xml:space="preserve"> of our action plan</w:t>
      </w:r>
      <w:r w:rsidR="00835057">
        <w:rPr>
          <w:color w:val="000000"/>
          <w:shd w:val="clear" w:color="auto" w:fill="FFFFFF"/>
        </w:rPr>
        <w:t>, the</w:t>
      </w:r>
      <w:r w:rsidRPr="003F358B">
        <w:rPr>
          <w:color w:val="000000"/>
          <w:shd w:val="clear" w:color="auto" w:fill="FFFFFF"/>
        </w:rPr>
        <w:t xml:space="preserve"> SGP:</w:t>
      </w:r>
    </w:p>
    <w:p w14:paraId="032A8EF8" w14:textId="46B72096" w:rsidR="003F358B" w:rsidRPr="00FC0ED0" w:rsidRDefault="00835057" w:rsidP="00FC0ED0">
      <w:pPr>
        <w:pStyle w:val="ListBullet"/>
      </w:pPr>
      <w:r w:rsidRPr="00FC0ED0">
        <w:t xml:space="preserve">needs </w:t>
      </w:r>
      <w:r w:rsidR="003F358B" w:rsidRPr="00FC0ED0">
        <w:t>commitment of partners to work together</w:t>
      </w:r>
    </w:p>
    <w:p w14:paraId="12BB7718" w14:textId="56F7E220" w:rsidR="003F358B" w:rsidRPr="00FC0ED0" w:rsidRDefault="00835057" w:rsidP="00FC0ED0">
      <w:pPr>
        <w:pStyle w:val="ListBullet"/>
      </w:pPr>
      <w:r w:rsidRPr="00FC0ED0">
        <w:t xml:space="preserve">uses </w:t>
      </w:r>
      <w:r w:rsidR="003F358B" w:rsidRPr="00FC0ED0">
        <w:t>multi agency problem solving through operational delivery groups and Community Trigger panels</w:t>
      </w:r>
    </w:p>
    <w:p w14:paraId="3CD493A3" w14:textId="7EAABEA3" w:rsidR="003F358B" w:rsidRPr="00FC0ED0" w:rsidRDefault="003F358B" w:rsidP="00FC0ED0">
      <w:pPr>
        <w:pStyle w:val="ListBullet"/>
      </w:pPr>
      <w:r w:rsidRPr="00FC0ED0">
        <w:t>select</w:t>
      </w:r>
      <w:r w:rsidR="00835057" w:rsidRPr="00FC0ED0">
        <w:t>s</w:t>
      </w:r>
      <w:r w:rsidRPr="00FC0ED0">
        <w:t xml:space="preserve"> and effectively us</w:t>
      </w:r>
      <w:r w:rsidR="00835057" w:rsidRPr="00FC0ED0">
        <w:t>e</w:t>
      </w:r>
      <w:r w:rsidRPr="00FC0ED0">
        <w:t xml:space="preserve"> anti-social behaviour (ASB) tools to address local issues</w:t>
      </w:r>
    </w:p>
    <w:p w14:paraId="42309C5F" w14:textId="699F3BCF" w:rsidR="003F358B" w:rsidRPr="00FC0ED0" w:rsidRDefault="003F358B" w:rsidP="00FC0ED0">
      <w:pPr>
        <w:pStyle w:val="ListBullet"/>
      </w:pPr>
      <w:r w:rsidRPr="00FC0ED0">
        <w:t>fund</w:t>
      </w:r>
      <w:r w:rsidR="00835057" w:rsidRPr="00FC0ED0">
        <w:t>s</w:t>
      </w:r>
      <w:r w:rsidRPr="00FC0ED0">
        <w:t xml:space="preserve"> targeted intervention projects and events in response to local issues</w:t>
      </w:r>
    </w:p>
    <w:p w14:paraId="5DEBBF47" w14:textId="3C2D0F24" w:rsidR="003F358B" w:rsidRPr="00FC0ED0" w:rsidRDefault="00835057" w:rsidP="00FC0ED0">
      <w:pPr>
        <w:pStyle w:val="ListBullet"/>
      </w:pPr>
      <w:r w:rsidRPr="00FC0ED0">
        <w:t>has an effective</w:t>
      </w:r>
      <w:r w:rsidR="003F358B" w:rsidRPr="00FC0ED0">
        <w:t xml:space="preserve"> communications plan</w:t>
      </w:r>
    </w:p>
    <w:p w14:paraId="3815EDAC" w14:textId="20E9794B" w:rsidR="003F358B" w:rsidRPr="00FC0ED0" w:rsidRDefault="003F358B" w:rsidP="00FC0ED0">
      <w:pPr>
        <w:pStyle w:val="ListBullet"/>
      </w:pPr>
      <w:r w:rsidRPr="00FC0ED0">
        <w:t>coordinat</w:t>
      </w:r>
      <w:r w:rsidR="00835057" w:rsidRPr="00FC0ED0">
        <w:t>es</w:t>
      </w:r>
      <w:r w:rsidRPr="00FC0ED0">
        <w:t xml:space="preserve"> the delivery of training </w:t>
      </w:r>
    </w:p>
    <w:p w14:paraId="3C4BA205" w14:textId="633B6CFA" w:rsidR="003F358B" w:rsidRPr="00FC0ED0" w:rsidRDefault="00835057" w:rsidP="00FC0ED0">
      <w:pPr>
        <w:pStyle w:val="ListBullet"/>
      </w:pPr>
      <w:r w:rsidRPr="00FC0ED0">
        <w:t xml:space="preserve">needs </w:t>
      </w:r>
      <w:r w:rsidR="003F358B" w:rsidRPr="00FC0ED0">
        <w:t>effective information sharing</w:t>
      </w:r>
    </w:p>
    <w:p w14:paraId="017DB20D" w14:textId="4E3EC282" w:rsidR="003F358B" w:rsidRPr="003F358B" w:rsidRDefault="00B26CD3" w:rsidP="00B00CFC">
      <w:r w:rsidRPr="003F358B">
        <w:t>Most of the</w:t>
      </w:r>
      <w:r w:rsidR="003F358B" w:rsidRPr="003F358B">
        <w:t xml:space="preserve"> activity and intervention across the Partnership is undertaken through the</w:t>
      </w:r>
      <w:r w:rsidR="002B732A">
        <w:t xml:space="preserve"> </w:t>
      </w:r>
      <w:r w:rsidR="003F358B" w:rsidRPr="003F358B">
        <w:t>operational delivery groups:</w:t>
      </w:r>
    </w:p>
    <w:p w14:paraId="60315CB4" w14:textId="77777777" w:rsidR="003F358B" w:rsidRPr="003F358B" w:rsidRDefault="003F358B" w:rsidP="00FC0ED0">
      <w:pPr>
        <w:pStyle w:val="ListBullet"/>
      </w:pPr>
      <w:r w:rsidRPr="003F358B">
        <w:t>Joint Action Group (JAG)</w:t>
      </w:r>
    </w:p>
    <w:p w14:paraId="60BE3E67" w14:textId="77777777" w:rsidR="003F358B" w:rsidRPr="003F358B" w:rsidRDefault="003F358B" w:rsidP="00FC0ED0">
      <w:pPr>
        <w:pStyle w:val="ListBullet"/>
      </w:pPr>
      <w:r w:rsidRPr="003F358B">
        <w:t>Serious Organised Crime JAG (SOC JAG)</w:t>
      </w:r>
    </w:p>
    <w:p w14:paraId="7D6CED86" w14:textId="77777777" w:rsidR="003F358B" w:rsidRPr="003F358B" w:rsidRDefault="003F358B" w:rsidP="00FC0ED0">
      <w:pPr>
        <w:pStyle w:val="ListBullet"/>
      </w:pPr>
      <w:r w:rsidRPr="003F358B">
        <w:t>Community Harm and Risk Management Meeting (CHaRMM)</w:t>
      </w:r>
    </w:p>
    <w:p w14:paraId="56E13466" w14:textId="77777777" w:rsidR="003F358B" w:rsidRPr="003F358B" w:rsidRDefault="003F358B" w:rsidP="00FC0ED0">
      <w:pPr>
        <w:pStyle w:val="ListBullet"/>
      </w:pPr>
      <w:r w:rsidRPr="003F358B">
        <w:t>Community Trigger Panels</w:t>
      </w:r>
    </w:p>
    <w:p w14:paraId="6B13298C" w14:textId="46D685D9" w:rsidR="003F358B" w:rsidRPr="003F358B" w:rsidRDefault="005D3A87" w:rsidP="00B00CFC">
      <w:r>
        <w:t>These</w:t>
      </w:r>
      <w:r w:rsidR="003F358B" w:rsidRPr="003F358B">
        <w:t xml:space="preserve"> groups bring together frontline professionals to share information and problem solve solutions to community safety concerns. Each group has a specific focus on either vulnerable individuals</w:t>
      </w:r>
      <w:r w:rsidR="00717757">
        <w:t xml:space="preserve">, </w:t>
      </w:r>
      <w:r w:rsidR="003F358B" w:rsidRPr="003F358B">
        <w:t>geographic cases,</w:t>
      </w:r>
      <w:r w:rsidR="00717757">
        <w:t xml:space="preserve"> or types of crime,</w:t>
      </w:r>
      <w:r w:rsidR="003F358B" w:rsidRPr="003F358B">
        <w:t xml:space="preserve"> although there is some cross over between groups in managing victims and perpetrators. </w:t>
      </w:r>
    </w:p>
    <w:p w14:paraId="4C2283CA" w14:textId="750BD0B0" w:rsidR="003F358B" w:rsidRPr="003F358B" w:rsidRDefault="005D3A87" w:rsidP="00B00CFC">
      <w:r>
        <w:t xml:space="preserve">We use a secure case management system called ECINS to share information and mange risks. </w:t>
      </w:r>
    </w:p>
    <w:p w14:paraId="5EA26075" w14:textId="06CB1964" w:rsidR="00C543A7" w:rsidRDefault="003F358B" w:rsidP="00B00CFC">
      <w:r w:rsidRPr="003F358B">
        <w:t>The successful outcomes achieved by these groups are a direct result of the commitment of all agencies to work together to reduce crime, disorder, and anti-social behaviour.</w:t>
      </w:r>
    </w:p>
    <w:p w14:paraId="3899B897" w14:textId="77777777" w:rsidR="00C543A7" w:rsidRDefault="00C543A7">
      <w:pPr>
        <w:spacing w:after="160" w:line="259" w:lineRule="auto"/>
      </w:pPr>
      <w:r>
        <w:br w:type="page"/>
      </w:r>
    </w:p>
    <w:p w14:paraId="71A7D2FE" w14:textId="5880F311" w:rsidR="003645FB" w:rsidRPr="001F5733" w:rsidRDefault="003645FB" w:rsidP="00B00CFC">
      <w:pPr>
        <w:pStyle w:val="Heading2"/>
      </w:pPr>
      <w:bookmarkStart w:id="4" w:name="_Toc108011418"/>
      <w:r w:rsidRPr="001F5733">
        <w:lastRenderedPageBreak/>
        <w:t>Legislation</w:t>
      </w:r>
      <w:bookmarkEnd w:id="4"/>
    </w:p>
    <w:p w14:paraId="66688C0B" w14:textId="77777777" w:rsidR="00FB066E" w:rsidRPr="003F358B" w:rsidRDefault="00FB066E" w:rsidP="00B00CFC">
      <w:pPr>
        <w:rPr>
          <w:shd w:val="clear" w:color="auto" w:fill="FFFFFF"/>
        </w:rPr>
      </w:pPr>
      <w:r>
        <w:rPr>
          <w:shd w:val="clear" w:color="auto" w:fill="FFFFFF"/>
        </w:rPr>
        <w:t xml:space="preserve">The need for the SGP and this plan is a statutory duty set out in the </w:t>
      </w:r>
      <w:r w:rsidRPr="003F358B">
        <w:rPr>
          <w:shd w:val="clear" w:color="auto" w:fill="FFFFFF"/>
        </w:rPr>
        <w:t>Crime and Disorder Act 1998, as amended by the Police Reform Act 2002 and the</w:t>
      </w:r>
      <w:r>
        <w:rPr>
          <w:shd w:val="clear" w:color="auto" w:fill="FFFFFF"/>
        </w:rPr>
        <w:t xml:space="preserve"> </w:t>
      </w:r>
      <w:r w:rsidRPr="003F358B">
        <w:rPr>
          <w:shd w:val="clear" w:color="auto" w:fill="FFFFFF"/>
        </w:rPr>
        <w:t>Police and Justice Act 2006</w:t>
      </w:r>
      <w:r>
        <w:rPr>
          <w:shd w:val="clear" w:color="auto" w:fill="FFFFFF"/>
        </w:rPr>
        <w:t>.</w:t>
      </w:r>
    </w:p>
    <w:p w14:paraId="70EBF5A0" w14:textId="77777777" w:rsidR="00FB066E" w:rsidRPr="003F358B" w:rsidRDefault="00FB066E" w:rsidP="00B00CFC">
      <w:pPr>
        <w:rPr>
          <w:shd w:val="clear" w:color="auto" w:fill="FFFFFF"/>
        </w:rPr>
      </w:pPr>
      <w:r w:rsidRPr="003F358B">
        <w:rPr>
          <w:shd w:val="clear" w:color="auto" w:fill="FFFFFF"/>
        </w:rPr>
        <w:t xml:space="preserve">The statutory role of the SGP is: </w:t>
      </w:r>
    </w:p>
    <w:p w14:paraId="181CCD11" w14:textId="77777777" w:rsidR="00FB066E" w:rsidRPr="00FC0ED0" w:rsidRDefault="00FB066E" w:rsidP="00FC0ED0">
      <w:pPr>
        <w:pStyle w:val="ListBullet"/>
      </w:pPr>
      <w:r w:rsidRPr="00FC0ED0">
        <w:t>to assist information sharing</w:t>
      </w:r>
    </w:p>
    <w:p w14:paraId="23F3B32F" w14:textId="77777777" w:rsidR="00FB066E" w:rsidRPr="00FC0ED0" w:rsidRDefault="00FB066E" w:rsidP="00FC0ED0">
      <w:pPr>
        <w:pStyle w:val="ListBullet"/>
      </w:pPr>
      <w:r w:rsidRPr="00FC0ED0">
        <w:t>identify local priorities</w:t>
      </w:r>
    </w:p>
    <w:p w14:paraId="572DD9C8" w14:textId="77777777" w:rsidR="00FB066E" w:rsidRPr="00FC0ED0" w:rsidRDefault="00FB066E" w:rsidP="00FC0ED0">
      <w:pPr>
        <w:pStyle w:val="ListBullet"/>
      </w:pPr>
      <w:r w:rsidRPr="00FC0ED0">
        <w:t>coordinate a planned response to the prevention of crime, disorder, anti-social behaviour, and reoffending, at a borough level</w:t>
      </w:r>
    </w:p>
    <w:p w14:paraId="1508A0FB" w14:textId="4B351637" w:rsidR="00FB066E" w:rsidRDefault="00FB066E" w:rsidP="00FC0ED0">
      <w:pPr>
        <w:pStyle w:val="ListBullet"/>
        <w:rPr>
          <w:shd w:val="clear" w:color="auto" w:fill="FFFFFF"/>
        </w:rPr>
      </w:pPr>
      <w:r w:rsidRPr="00FC0ED0">
        <w:t>undertake</w:t>
      </w:r>
      <w:r w:rsidRPr="003F358B">
        <w:rPr>
          <w:shd w:val="clear" w:color="auto" w:fill="FFFFFF"/>
        </w:rPr>
        <w:t xml:space="preserve"> Domestic Homicide Reviews (DHR)</w:t>
      </w:r>
    </w:p>
    <w:p w14:paraId="2E18D945" w14:textId="5F163CEE" w:rsidR="00FB066E" w:rsidRDefault="00FB066E" w:rsidP="00B00CFC">
      <w:pPr>
        <w:rPr>
          <w:shd w:val="clear" w:color="auto" w:fill="FFFFFF"/>
        </w:rPr>
      </w:pPr>
      <w:r>
        <w:rPr>
          <w:shd w:val="clear" w:color="auto" w:fill="FFFFFF"/>
        </w:rPr>
        <w:t>Other relevant legislation for the SGP includes:</w:t>
      </w:r>
    </w:p>
    <w:p w14:paraId="59C8A81E" w14:textId="2BF840C4" w:rsidR="00FB066E" w:rsidRDefault="00FB066E" w:rsidP="00FC0ED0">
      <w:pPr>
        <w:pStyle w:val="ListBullet"/>
      </w:pPr>
      <w:r>
        <w:t>Anti-social Behaviour, Crime and Policing Act 2014</w:t>
      </w:r>
    </w:p>
    <w:p w14:paraId="4A488E07" w14:textId="31319D4D" w:rsidR="00FB066E" w:rsidRDefault="00FB066E" w:rsidP="00FC0ED0">
      <w:pPr>
        <w:pStyle w:val="ListBullet"/>
      </w:pPr>
      <w:r>
        <w:t>The Domestic Abuse Act 2021</w:t>
      </w:r>
    </w:p>
    <w:p w14:paraId="06579742" w14:textId="77777777" w:rsidR="00FB066E" w:rsidRDefault="00FB066E" w:rsidP="00FC0ED0">
      <w:pPr>
        <w:pStyle w:val="ListBullet"/>
      </w:pPr>
      <w:r>
        <w:t>Care Act 2014</w:t>
      </w:r>
    </w:p>
    <w:p w14:paraId="316316B1" w14:textId="77777777" w:rsidR="00FB066E" w:rsidRDefault="00FB066E" w:rsidP="00FC0ED0">
      <w:pPr>
        <w:pStyle w:val="ListBullet"/>
      </w:pPr>
      <w:proofErr w:type="gramStart"/>
      <w:r>
        <w:t>Counter-Terrorism</w:t>
      </w:r>
      <w:proofErr w:type="gramEnd"/>
      <w:r>
        <w:t xml:space="preserve"> and Security Act 2015 (and subsequent amendments in 2019)</w:t>
      </w:r>
    </w:p>
    <w:p w14:paraId="66EE01A3" w14:textId="77777777" w:rsidR="00FB066E" w:rsidRDefault="00FB066E" w:rsidP="00FC0ED0">
      <w:pPr>
        <w:pStyle w:val="ListBullet"/>
      </w:pPr>
      <w:r>
        <w:t>Serious Crime Act 2015</w:t>
      </w:r>
    </w:p>
    <w:p w14:paraId="09DCB923" w14:textId="77777777" w:rsidR="00FB066E" w:rsidRDefault="00FB066E" w:rsidP="00FC0ED0">
      <w:pPr>
        <w:pStyle w:val="ListBullet"/>
      </w:pPr>
      <w:r>
        <w:t>Modern Slavery Act 2015</w:t>
      </w:r>
    </w:p>
    <w:p w14:paraId="73331AB0" w14:textId="77777777" w:rsidR="00FB066E" w:rsidRDefault="00FB066E" w:rsidP="00FC0ED0">
      <w:pPr>
        <w:pStyle w:val="ListBullet"/>
      </w:pPr>
      <w:r>
        <w:t>Psychoactive Substances Act 2016</w:t>
      </w:r>
    </w:p>
    <w:p w14:paraId="0EE45A3A" w14:textId="77DD9F8D" w:rsidR="00FB066E" w:rsidRPr="00C543A7" w:rsidRDefault="00FB066E" w:rsidP="00FC0ED0">
      <w:pPr>
        <w:pStyle w:val="ListBullet"/>
        <w:rPr>
          <w:shd w:val="clear" w:color="auto" w:fill="FFFFFF"/>
        </w:rPr>
      </w:pPr>
      <w:r>
        <w:t>The Children’s Acts 2004 and more recently the Children and Social Work Act 2017</w:t>
      </w:r>
    </w:p>
    <w:p w14:paraId="6570A9B0" w14:textId="7236210F" w:rsidR="00C543A7" w:rsidRDefault="00C543A7">
      <w:pPr>
        <w:spacing w:after="160" w:line="259" w:lineRule="auto"/>
      </w:pPr>
      <w:r>
        <w:br w:type="page"/>
      </w:r>
    </w:p>
    <w:p w14:paraId="5A0A428B" w14:textId="70282FDE" w:rsidR="009D332C" w:rsidRPr="009B00C9" w:rsidRDefault="009D332C" w:rsidP="00B00CFC">
      <w:pPr>
        <w:pStyle w:val="Heading2"/>
      </w:pPr>
      <w:bookmarkStart w:id="5" w:name="_Toc108011419"/>
      <w:r w:rsidRPr="009B00C9">
        <w:lastRenderedPageBreak/>
        <w:t>Safer Guildford Partnership Priorities 2021-24</w:t>
      </w:r>
      <w:bookmarkEnd w:id="5"/>
    </w:p>
    <w:p w14:paraId="21F9CA6B" w14:textId="58369B89" w:rsidR="009B00C9" w:rsidRPr="009B00C9" w:rsidRDefault="009B00C9" w:rsidP="00B00CFC">
      <w:r w:rsidRPr="009B00C9">
        <w:t xml:space="preserve">The </w:t>
      </w:r>
      <w:r>
        <w:t>SGP</w:t>
      </w:r>
      <w:r w:rsidRPr="009B00C9">
        <w:t xml:space="preserve"> has a statutory duty to produce a 3-year Community Safety Partnership Plan, which sets out the Partnership’s response to address and reduce crime, disorder, and anti-social behaviour. </w:t>
      </w:r>
    </w:p>
    <w:p w14:paraId="1FA4AE97" w14:textId="216979A8" w:rsidR="009B00C9" w:rsidRPr="009B00C9" w:rsidRDefault="009B00C9" w:rsidP="00B00CFC">
      <w:pPr>
        <w:rPr>
          <w:szCs w:val="22"/>
        </w:rPr>
      </w:pPr>
      <w:r>
        <w:t>T</w:t>
      </w:r>
      <w:r w:rsidRPr="009B00C9">
        <w:t>he SGP have identified five key strategic priorities for 2021-2024 having consider</w:t>
      </w:r>
      <w:r>
        <w:t>ed:</w:t>
      </w:r>
    </w:p>
    <w:p w14:paraId="64D9D4FE" w14:textId="22852F49" w:rsidR="009B00C9" w:rsidRPr="008168BA" w:rsidRDefault="009B00C9" w:rsidP="008168BA">
      <w:pPr>
        <w:pStyle w:val="ListBullet"/>
      </w:pPr>
      <w:r w:rsidRPr="009B00C9">
        <w:rPr>
          <w:szCs w:val="22"/>
        </w:rPr>
        <w:t xml:space="preserve">what </w:t>
      </w:r>
      <w:r w:rsidRPr="008168BA">
        <w:t xml:space="preserve">the </w:t>
      </w:r>
      <w:r w:rsidR="00F61A3A" w:rsidRPr="008168BA">
        <w:t>community safety</w:t>
      </w:r>
      <w:r w:rsidR="00ED364A" w:rsidRPr="008168BA">
        <w:t xml:space="preserve"> issue</w:t>
      </w:r>
      <w:r w:rsidRPr="008168BA">
        <w:t xml:space="preserve"> is</w:t>
      </w:r>
      <w:r w:rsidR="00ED364A" w:rsidRPr="008168BA">
        <w:t>,</w:t>
      </w:r>
      <w:r w:rsidRPr="008168BA">
        <w:t xml:space="preserve"> and what the impact is on our communities</w:t>
      </w:r>
    </w:p>
    <w:p w14:paraId="52A9D54C" w14:textId="176BD677" w:rsidR="00CD0861" w:rsidRPr="00F61A3A" w:rsidRDefault="009B00C9" w:rsidP="008168BA">
      <w:pPr>
        <w:pStyle w:val="ListBullet"/>
        <w:rPr>
          <w:szCs w:val="22"/>
        </w:rPr>
      </w:pPr>
      <w:r w:rsidRPr="008168BA">
        <w:t>where joint</w:t>
      </w:r>
      <w:r w:rsidRPr="009B00C9">
        <w:rPr>
          <w:szCs w:val="22"/>
        </w:rPr>
        <w:t xml:space="preserve"> working is the best solution to the address the problem</w:t>
      </w:r>
      <w:bookmarkStart w:id="6" w:name="_Hlk80035931"/>
      <w:bookmarkStart w:id="7" w:name="_Hlk49327282"/>
    </w:p>
    <w:bookmarkEnd w:id="6"/>
    <w:p w14:paraId="5868A378" w14:textId="3A706A0F" w:rsidR="00CD0861" w:rsidRPr="00F61A3A" w:rsidRDefault="00CD0861" w:rsidP="008168BA">
      <w:pPr>
        <w:pStyle w:val="Heading3"/>
      </w:pPr>
      <w:r w:rsidRPr="00F61A3A">
        <w:t>D</w:t>
      </w:r>
      <w:r w:rsidR="00C8181E" w:rsidRPr="00F61A3A">
        <w:t>omestic Abuse</w:t>
      </w:r>
      <w:r w:rsidRPr="00F61A3A">
        <w:t xml:space="preserve"> </w:t>
      </w:r>
    </w:p>
    <w:p w14:paraId="41540AC9" w14:textId="341DE8A3" w:rsidR="00CD0861" w:rsidRPr="00F61A3A" w:rsidRDefault="00C8181E" w:rsidP="00B00CFC">
      <w:pPr>
        <w:rPr>
          <w:szCs w:val="22"/>
        </w:rPr>
      </w:pPr>
      <w:r w:rsidRPr="00F61A3A">
        <w:rPr>
          <w:szCs w:val="22"/>
        </w:rPr>
        <w:t>R</w:t>
      </w:r>
      <w:r w:rsidR="00CD0861" w:rsidRPr="00F61A3A">
        <w:rPr>
          <w:szCs w:val="22"/>
        </w:rPr>
        <w:t xml:space="preserve">esponding to </w:t>
      </w:r>
      <w:r w:rsidRPr="00F61A3A">
        <w:rPr>
          <w:szCs w:val="22"/>
        </w:rPr>
        <w:t xml:space="preserve">the </w:t>
      </w:r>
      <w:r w:rsidR="00CD0861" w:rsidRPr="00F61A3A">
        <w:rPr>
          <w:szCs w:val="22"/>
        </w:rPr>
        <w:t>D</w:t>
      </w:r>
      <w:r w:rsidRPr="00F61A3A">
        <w:rPr>
          <w:szCs w:val="22"/>
        </w:rPr>
        <w:t xml:space="preserve">omestic </w:t>
      </w:r>
      <w:r w:rsidR="00CD0861" w:rsidRPr="00F61A3A">
        <w:rPr>
          <w:szCs w:val="22"/>
        </w:rPr>
        <w:t>A</w:t>
      </w:r>
      <w:r w:rsidRPr="00F61A3A">
        <w:rPr>
          <w:szCs w:val="22"/>
        </w:rPr>
        <w:t>buse</w:t>
      </w:r>
      <w:r w:rsidR="00CD0861" w:rsidRPr="00F61A3A">
        <w:rPr>
          <w:szCs w:val="22"/>
        </w:rPr>
        <w:t xml:space="preserve"> </w:t>
      </w:r>
      <w:r w:rsidRPr="00F61A3A">
        <w:rPr>
          <w:szCs w:val="22"/>
        </w:rPr>
        <w:t>Act 2021</w:t>
      </w:r>
      <w:r w:rsidR="00CD0861" w:rsidRPr="00F61A3A">
        <w:rPr>
          <w:szCs w:val="22"/>
        </w:rPr>
        <w:t xml:space="preserve">, </w:t>
      </w:r>
      <w:r w:rsidRPr="00F61A3A">
        <w:rPr>
          <w:szCs w:val="22"/>
        </w:rPr>
        <w:t>Surrey Against Domestic Abuse S</w:t>
      </w:r>
      <w:r w:rsidR="00CD0861" w:rsidRPr="00F61A3A">
        <w:rPr>
          <w:szCs w:val="22"/>
        </w:rPr>
        <w:t>trategy</w:t>
      </w:r>
      <w:r w:rsidR="00226A84" w:rsidRPr="00F61A3A">
        <w:rPr>
          <w:szCs w:val="22"/>
        </w:rPr>
        <w:t xml:space="preserve"> and</w:t>
      </w:r>
      <w:r w:rsidRPr="00F61A3A">
        <w:rPr>
          <w:szCs w:val="22"/>
        </w:rPr>
        <w:t xml:space="preserve"> </w:t>
      </w:r>
      <w:r w:rsidR="00CD0861" w:rsidRPr="00F61A3A">
        <w:rPr>
          <w:szCs w:val="22"/>
        </w:rPr>
        <w:t xml:space="preserve">implementing </w:t>
      </w:r>
      <w:r w:rsidRPr="00F61A3A">
        <w:rPr>
          <w:szCs w:val="22"/>
        </w:rPr>
        <w:t>the Guildford</w:t>
      </w:r>
      <w:r w:rsidR="00CD0861" w:rsidRPr="00F61A3A">
        <w:rPr>
          <w:szCs w:val="22"/>
        </w:rPr>
        <w:t xml:space="preserve"> D</w:t>
      </w:r>
      <w:r w:rsidRPr="00F61A3A">
        <w:rPr>
          <w:szCs w:val="22"/>
        </w:rPr>
        <w:t xml:space="preserve">omestic </w:t>
      </w:r>
      <w:r w:rsidR="00CD0861" w:rsidRPr="00F61A3A">
        <w:rPr>
          <w:szCs w:val="22"/>
        </w:rPr>
        <w:t>A</w:t>
      </w:r>
      <w:r w:rsidRPr="00F61A3A">
        <w:rPr>
          <w:szCs w:val="22"/>
        </w:rPr>
        <w:t>buse</w:t>
      </w:r>
      <w:r w:rsidR="00CD0861" w:rsidRPr="00F61A3A">
        <w:rPr>
          <w:szCs w:val="22"/>
        </w:rPr>
        <w:t xml:space="preserve"> </w:t>
      </w:r>
      <w:r w:rsidRPr="00F61A3A">
        <w:rPr>
          <w:szCs w:val="22"/>
        </w:rPr>
        <w:t>Pledge.</w:t>
      </w:r>
    </w:p>
    <w:p w14:paraId="502E92D7" w14:textId="64D4E1A4" w:rsidR="00CD0861" w:rsidRPr="00F61A3A" w:rsidRDefault="00634B01" w:rsidP="00C543A7">
      <w:pPr>
        <w:pStyle w:val="Heading3"/>
      </w:pPr>
      <w:r>
        <w:t>Community Harm</w:t>
      </w:r>
    </w:p>
    <w:p w14:paraId="60F95EE4" w14:textId="59627D27" w:rsidR="00C8181E" w:rsidRPr="00F61A3A" w:rsidRDefault="00CD0861" w:rsidP="00B00CFC">
      <w:pPr>
        <w:rPr>
          <w:szCs w:val="22"/>
        </w:rPr>
      </w:pPr>
      <w:r w:rsidRPr="00F61A3A">
        <w:rPr>
          <w:szCs w:val="22"/>
        </w:rPr>
        <w:t>Continued improvements in how our operational groups are working- responding to targeted areas</w:t>
      </w:r>
      <w:r w:rsidR="00226A84" w:rsidRPr="00F61A3A">
        <w:rPr>
          <w:szCs w:val="22"/>
        </w:rPr>
        <w:t xml:space="preserve"> and vulnerable people. I</w:t>
      </w:r>
      <w:r w:rsidRPr="00F61A3A">
        <w:rPr>
          <w:szCs w:val="22"/>
        </w:rPr>
        <w:t xml:space="preserve">mplementing </w:t>
      </w:r>
      <w:r w:rsidR="00C8181E" w:rsidRPr="00F61A3A">
        <w:rPr>
          <w:szCs w:val="22"/>
        </w:rPr>
        <w:t>Public Spaces Protection Orders</w:t>
      </w:r>
      <w:r w:rsidR="00226A84" w:rsidRPr="00F61A3A">
        <w:rPr>
          <w:szCs w:val="22"/>
        </w:rPr>
        <w:t xml:space="preserve"> and </w:t>
      </w:r>
      <w:r w:rsidRPr="00F61A3A">
        <w:rPr>
          <w:szCs w:val="22"/>
        </w:rPr>
        <w:t>maintaining</w:t>
      </w:r>
      <w:r w:rsidR="00C8181E" w:rsidRPr="00F61A3A">
        <w:rPr>
          <w:szCs w:val="22"/>
        </w:rPr>
        <w:t xml:space="preserve"> support for </w:t>
      </w:r>
      <w:r w:rsidRPr="00F61A3A">
        <w:rPr>
          <w:szCs w:val="22"/>
        </w:rPr>
        <w:t>Community Trigger</w:t>
      </w:r>
      <w:r w:rsidR="00C8181E" w:rsidRPr="00F61A3A">
        <w:rPr>
          <w:szCs w:val="22"/>
        </w:rPr>
        <w:t>s</w:t>
      </w:r>
      <w:r w:rsidR="00226A84" w:rsidRPr="00F61A3A">
        <w:rPr>
          <w:szCs w:val="22"/>
        </w:rPr>
        <w:t>.</w:t>
      </w:r>
      <w:r w:rsidR="00C8181E" w:rsidRPr="00F61A3A">
        <w:rPr>
          <w:szCs w:val="22"/>
        </w:rPr>
        <w:t xml:space="preserve"> </w:t>
      </w:r>
    </w:p>
    <w:p w14:paraId="71764D4E" w14:textId="1CD5FA7F" w:rsidR="00CD0861" w:rsidRPr="00F61A3A" w:rsidRDefault="00CD0861" w:rsidP="00C543A7">
      <w:pPr>
        <w:pStyle w:val="Heading3"/>
      </w:pPr>
      <w:r w:rsidRPr="00F61A3A">
        <w:t xml:space="preserve">Protecting </w:t>
      </w:r>
      <w:r w:rsidR="00C8181E" w:rsidRPr="00F61A3A">
        <w:t xml:space="preserve">people </w:t>
      </w:r>
      <w:r w:rsidRPr="00F61A3A">
        <w:t>from serious harm</w:t>
      </w:r>
    </w:p>
    <w:p w14:paraId="62809C33" w14:textId="4CA3B5B3" w:rsidR="00CD0861" w:rsidRPr="00F61A3A" w:rsidRDefault="00226A84" w:rsidP="00B00CFC">
      <w:pPr>
        <w:rPr>
          <w:szCs w:val="22"/>
        </w:rPr>
      </w:pPr>
      <w:r w:rsidRPr="00F61A3A">
        <w:rPr>
          <w:szCs w:val="22"/>
        </w:rPr>
        <w:t>Responding to the threat of counterterrorism (</w:t>
      </w:r>
      <w:r w:rsidR="00CD0861" w:rsidRPr="00F61A3A">
        <w:rPr>
          <w:szCs w:val="22"/>
        </w:rPr>
        <w:t>Prevent</w:t>
      </w:r>
      <w:r w:rsidRPr="00F61A3A">
        <w:rPr>
          <w:szCs w:val="22"/>
        </w:rPr>
        <w:t>)</w:t>
      </w:r>
      <w:r w:rsidR="00CD0861" w:rsidRPr="00F61A3A">
        <w:rPr>
          <w:szCs w:val="22"/>
        </w:rPr>
        <w:t xml:space="preserve">, </w:t>
      </w:r>
      <w:r w:rsidRPr="00F61A3A">
        <w:rPr>
          <w:szCs w:val="22"/>
        </w:rPr>
        <w:t xml:space="preserve">maintaining </w:t>
      </w:r>
      <w:r w:rsidR="00ED364A">
        <w:rPr>
          <w:szCs w:val="22"/>
        </w:rPr>
        <w:t xml:space="preserve">a </w:t>
      </w:r>
      <w:r w:rsidRPr="00F61A3A">
        <w:rPr>
          <w:szCs w:val="22"/>
        </w:rPr>
        <w:t>serious organised crime group, supporting schemes to address serious youth violence.</w:t>
      </w:r>
    </w:p>
    <w:p w14:paraId="7AF53BE5" w14:textId="25A9E37F" w:rsidR="00CD0861" w:rsidRPr="00F61A3A" w:rsidRDefault="009B3E09" w:rsidP="00C543A7">
      <w:pPr>
        <w:pStyle w:val="Heading3"/>
      </w:pPr>
      <w:r>
        <w:t>Community support</w:t>
      </w:r>
    </w:p>
    <w:p w14:paraId="3082BD64" w14:textId="383C528E" w:rsidR="00F61A3A" w:rsidRDefault="00F61A3A" w:rsidP="00B00CFC">
      <w:pPr>
        <w:rPr>
          <w:szCs w:val="22"/>
        </w:rPr>
      </w:pPr>
      <w:r w:rsidRPr="00F61A3A">
        <w:rPr>
          <w:szCs w:val="22"/>
        </w:rPr>
        <w:t xml:space="preserve">Focus on </w:t>
      </w:r>
      <w:r>
        <w:rPr>
          <w:szCs w:val="22"/>
        </w:rPr>
        <w:t>raising awareness</w:t>
      </w:r>
      <w:r w:rsidRPr="00F61A3A">
        <w:rPr>
          <w:szCs w:val="22"/>
        </w:rPr>
        <w:t xml:space="preserve">, </w:t>
      </w:r>
      <w:r w:rsidR="00CD0861" w:rsidRPr="00F61A3A">
        <w:rPr>
          <w:szCs w:val="22"/>
        </w:rPr>
        <w:t>communication</w:t>
      </w:r>
      <w:r w:rsidRPr="00F61A3A">
        <w:rPr>
          <w:szCs w:val="22"/>
        </w:rPr>
        <w:t xml:space="preserve"> and building public confidence. I</w:t>
      </w:r>
      <w:r w:rsidR="00CD0861" w:rsidRPr="00F61A3A">
        <w:rPr>
          <w:szCs w:val="22"/>
        </w:rPr>
        <w:t xml:space="preserve">dentifying issues, reporting, </w:t>
      </w:r>
      <w:r w:rsidRPr="00F61A3A">
        <w:rPr>
          <w:szCs w:val="22"/>
        </w:rPr>
        <w:t xml:space="preserve">and knowing how to </w:t>
      </w:r>
      <w:r w:rsidR="00CD0861" w:rsidRPr="00F61A3A">
        <w:rPr>
          <w:szCs w:val="22"/>
        </w:rPr>
        <w:t xml:space="preserve">seek </w:t>
      </w:r>
      <w:r w:rsidRPr="00F61A3A">
        <w:rPr>
          <w:szCs w:val="22"/>
        </w:rPr>
        <w:t xml:space="preserve">the </w:t>
      </w:r>
      <w:r w:rsidR="00CD0861" w:rsidRPr="00F61A3A">
        <w:rPr>
          <w:szCs w:val="22"/>
        </w:rPr>
        <w:t xml:space="preserve">right help at </w:t>
      </w:r>
      <w:r w:rsidRPr="00F61A3A">
        <w:rPr>
          <w:szCs w:val="22"/>
        </w:rPr>
        <w:t xml:space="preserve">the </w:t>
      </w:r>
      <w:r w:rsidR="00CD0861" w:rsidRPr="00F61A3A">
        <w:rPr>
          <w:szCs w:val="22"/>
        </w:rPr>
        <w:t>right time</w:t>
      </w:r>
      <w:r w:rsidRPr="00F61A3A">
        <w:rPr>
          <w:szCs w:val="22"/>
        </w:rPr>
        <w:t>.</w:t>
      </w:r>
      <w:r w:rsidR="009B3E09">
        <w:rPr>
          <w:szCs w:val="22"/>
        </w:rPr>
        <w:t xml:space="preserve"> Training and awareness of our support networks.</w:t>
      </w:r>
    </w:p>
    <w:p w14:paraId="7466934A" w14:textId="279283AB" w:rsidR="00F61A3A" w:rsidRPr="00F61A3A" w:rsidRDefault="00F61A3A" w:rsidP="00C543A7">
      <w:pPr>
        <w:pStyle w:val="Heading3"/>
      </w:pPr>
      <w:r w:rsidRPr="00F61A3A">
        <w:t xml:space="preserve">Covid 19 response to </w:t>
      </w:r>
      <w:r w:rsidR="009B3E09">
        <w:t>vulnerable people</w:t>
      </w:r>
    </w:p>
    <w:p w14:paraId="1E2D801C" w14:textId="157DF3EC" w:rsidR="00F61A3A" w:rsidRPr="00F61A3A" w:rsidRDefault="00F61A3A" w:rsidP="00B00CFC">
      <w:pPr>
        <w:rPr>
          <w:szCs w:val="22"/>
        </w:rPr>
      </w:pPr>
      <w:r w:rsidRPr="00F61A3A">
        <w:rPr>
          <w:szCs w:val="22"/>
        </w:rPr>
        <w:t xml:space="preserve">Responding to </w:t>
      </w:r>
      <w:r w:rsidR="009B3E09">
        <w:rPr>
          <w:szCs w:val="22"/>
        </w:rPr>
        <w:t>the additional vulnerabilities</w:t>
      </w:r>
      <w:r w:rsidRPr="00F61A3A">
        <w:rPr>
          <w:szCs w:val="22"/>
        </w:rPr>
        <w:t xml:space="preserve"> </w:t>
      </w:r>
      <w:r w:rsidR="009B3E09">
        <w:rPr>
          <w:szCs w:val="22"/>
        </w:rPr>
        <w:t xml:space="preserve">of our residents </w:t>
      </w:r>
      <w:r w:rsidR="00ED364A">
        <w:rPr>
          <w:szCs w:val="22"/>
        </w:rPr>
        <w:t>facing</w:t>
      </w:r>
      <w:r w:rsidR="009B3E09">
        <w:rPr>
          <w:szCs w:val="22"/>
        </w:rPr>
        <w:t xml:space="preserve"> community safety issues</w:t>
      </w:r>
      <w:r w:rsidR="00C543A7">
        <w:rPr>
          <w:szCs w:val="22"/>
        </w:rPr>
        <w:t xml:space="preserve">. </w:t>
      </w:r>
      <w:bookmarkEnd w:id="7"/>
    </w:p>
    <w:sectPr w:rsidR="00F61A3A" w:rsidRPr="00F61A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46BB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FCE5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7E4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B009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5E1C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E6FE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4456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44BF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E45A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B619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712728"/>
    <w:multiLevelType w:val="hybridMultilevel"/>
    <w:tmpl w:val="91BE9F00"/>
    <w:lvl w:ilvl="0" w:tplc="DD5CB5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3D10F6"/>
    <w:multiLevelType w:val="hybridMultilevel"/>
    <w:tmpl w:val="9BBC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486AA8"/>
    <w:multiLevelType w:val="hybridMultilevel"/>
    <w:tmpl w:val="F9389F0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31CD31C4"/>
    <w:multiLevelType w:val="hybridMultilevel"/>
    <w:tmpl w:val="C65E82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3461E42"/>
    <w:multiLevelType w:val="hybridMultilevel"/>
    <w:tmpl w:val="8618C4F2"/>
    <w:lvl w:ilvl="0" w:tplc="50B45F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9806D51"/>
    <w:multiLevelType w:val="multilevel"/>
    <w:tmpl w:val="0384284E"/>
    <w:lvl w:ilvl="0">
      <w:start w:val="1"/>
      <w:numFmt w:val="decimal"/>
      <w:lvlText w:val="%1."/>
      <w:lvlJc w:val="left"/>
      <w:pPr>
        <w:tabs>
          <w:tab w:val="num" w:pos="720"/>
        </w:tabs>
        <w:ind w:left="720" w:hanging="360"/>
      </w:pPr>
    </w:lvl>
    <w:lvl w:ilvl="1">
      <w:start w:val="5"/>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32D232A"/>
    <w:multiLevelType w:val="hybridMultilevel"/>
    <w:tmpl w:val="7EAADD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4213BFA"/>
    <w:multiLevelType w:val="hybridMultilevel"/>
    <w:tmpl w:val="6DD040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60542ED"/>
    <w:multiLevelType w:val="hybridMultilevel"/>
    <w:tmpl w:val="86FE3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7F65172"/>
    <w:multiLevelType w:val="hybridMultilevel"/>
    <w:tmpl w:val="D4FEBCA6"/>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F8F3EC8"/>
    <w:multiLevelType w:val="hybridMultilevel"/>
    <w:tmpl w:val="8EB2D84A"/>
    <w:lvl w:ilvl="0" w:tplc="07B29C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2C69FF"/>
    <w:multiLevelType w:val="hybridMultilevel"/>
    <w:tmpl w:val="A52E7EFE"/>
    <w:lvl w:ilvl="0" w:tplc="07B29C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0400CF"/>
    <w:multiLevelType w:val="hybridMultilevel"/>
    <w:tmpl w:val="666CDD8A"/>
    <w:lvl w:ilvl="0" w:tplc="82F67794">
      <w:start w:val="1"/>
      <w:numFmt w:val="decimal"/>
      <w:lvlText w:val="%1."/>
      <w:lvlJc w:val="left"/>
      <w:pPr>
        <w:tabs>
          <w:tab w:val="num" w:pos="720"/>
        </w:tabs>
        <w:ind w:left="720" w:hanging="360"/>
      </w:pPr>
    </w:lvl>
    <w:lvl w:ilvl="1" w:tplc="FF423644" w:tentative="1">
      <w:start w:val="1"/>
      <w:numFmt w:val="decimal"/>
      <w:lvlText w:val="%2."/>
      <w:lvlJc w:val="left"/>
      <w:pPr>
        <w:tabs>
          <w:tab w:val="num" w:pos="1440"/>
        </w:tabs>
        <w:ind w:left="1440" w:hanging="360"/>
      </w:pPr>
    </w:lvl>
    <w:lvl w:ilvl="2" w:tplc="25E87CF6" w:tentative="1">
      <w:start w:val="1"/>
      <w:numFmt w:val="decimal"/>
      <w:lvlText w:val="%3."/>
      <w:lvlJc w:val="left"/>
      <w:pPr>
        <w:tabs>
          <w:tab w:val="num" w:pos="2160"/>
        </w:tabs>
        <w:ind w:left="2160" w:hanging="360"/>
      </w:pPr>
    </w:lvl>
    <w:lvl w:ilvl="3" w:tplc="5344E0E4" w:tentative="1">
      <w:start w:val="1"/>
      <w:numFmt w:val="decimal"/>
      <w:lvlText w:val="%4."/>
      <w:lvlJc w:val="left"/>
      <w:pPr>
        <w:tabs>
          <w:tab w:val="num" w:pos="2880"/>
        </w:tabs>
        <w:ind w:left="2880" w:hanging="360"/>
      </w:pPr>
    </w:lvl>
    <w:lvl w:ilvl="4" w:tplc="3F1C8024" w:tentative="1">
      <w:start w:val="1"/>
      <w:numFmt w:val="decimal"/>
      <w:lvlText w:val="%5."/>
      <w:lvlJc w:val="left"/>
      <w:pPr>
        <w:tabs>
          <w:tab w:val="num" w:pos="3600"/>
        </w:tabs>
        <w:ind w:left="3600" w:hanging="360"/>
      </w:pPr>
    </w:lvl>
    <w:lvl w:ilvl="5" w:tplc="5E30CA88" w:tentative="1">
      <w:start w:val="1"/>
      <w:numFmt w:val="decimal"/>
      <w:lvlText w:val="%6."/>
      <w:lvlJc w:val="left"/>
      <w:pPr>
        <w:tabs>
          <w:tab w:val="num" w:pos="4320"/>
        </w:tabs>
        <w:ind w:left="4320" w:hanging="360"/>
      </w:pPr>
    </w:lvl>
    <w:lvl w:ilvl="6" w:tplc="6CE07092" w:tentative="1">
      <w:start w:val="1"/>
      <w:numFmt w:val="decimal"/>
      <w:lvlText w:val="%7."/>
      <w:lvlJc w:val="left"/>
      <w:pPr>
        <w:tabs>
          <w:tab w:val="num" w:pos="5040"/>
        </w:tabs>
        <w:ind w:left="5040" w:hanging="360"/>
      </w:pPr>
    </w:lvl>
    <w:lvl w:ilvl="7" w:tplc="27DED6B6" w:tentative="1">
      <w:start w:val="1"/>
      <w:numFmt w:val="decimal"/>
      <w:lvlText w:val="%8."/>
      <w:lvlJc w:val="left"/>
      <w:pPr>
        <w:tabs>
          <w:tab w:val="num" w:pos="5760"/>
        </w:tabs>
        <w:ind w:left="5760" w:hanging="360"/>
      </w:pPr>
    </w:lvl>
    <w:lvl w:ilvl="8" w:tplc="B4128AB4" w:tentative="1">
      <w:start w:val="1"/>
      <w:numFmt w:val="decimal"/>
      <w:lvlText w:val="%9."/>
      <w:lvlJc w:val="left"/>
      <w:pPr>
        <w:tabs>
          <w:tab w:val="num" w:pos="6480"/>
        </w:tabs>
        <w:ind w:left="6480" w:hanging="360"/>
      </w:pPr>
    </w:lvl>
  </w:abstractNum>
  <w:abstractNum w:abstractNumId="23" w15:restartNumberingAfterBreak="0">
    <w:nsid w:val="67BD7BF0"/>
    <w:multiLevelType w:val="hybridMultilevel"/>
    <w:tmpl w:val="10328FB2"/>
    <w:lvl w:ilvl="0" w:tplc="2FF422D8">
      <w:start w:val="1"/>
      <w:numFmt w:val="bullet"/>
      <w:lvlText w:val=""/>
      <w:lvlJc w:val="left"/>
      <w:pPr>
        <w:tabs>
          <w:tab w:val="num" w:pos="1080"/>
        </w:tabs>
        <w:ind w:left="1080" w:hanging="360"/>
      </w:pPr>
      <w:rPr>
        <w:rFonts w:ascii="Symbol" w:hAnsi="Symbol" w:hint="default"/>
      </w:rPr>
    </w:lvl>
    <w:lvl w:ilvl="1" w:tplc="FE2C7D76" w:tentative="1">
      <w:start w:val="1"/>
      <w:numFmt w:val="bullet"/>
      <w:lvlText w:val=""/>
      <w:lvlJc w:val="left"/>
      <w:pPr>
        <w:tabs>
          <w:tab w:val="num" w:pos="1800"/>
        </w:tabs>
        <w:ind w:left="1800" w:hanging="360"/>
      </w:pPr>
      <w:rPr>
        <w:rFonts w:ascii="Symbol" w:hAnsi="Symbol" w:hint="default"/>
      </w:rPr>
    </w:lvl>
    <w:lvl w:ilvl="2" w:tplc="B20E5066" w:tentative="1">
      <w:start w:val="1"/>
      <w:numFmt w:val="bullet"/>
      <w:lvlText w:val=""/>
      <w:lvlJc w:val="left"/>
      <w:pPr>
        <w:tabs>
          <w:tab w:val="num" w:pos="2520"/>
        </w:tabs>
        <w:ind w:left="2520" w:hanging="360"/>
      </w:pPr>
      <w:rPr>
        <w:rFonts w:ascii="Symbol" w:hAnsi="Symbol" w:hint="default"/>
      </w:rPr>
    </w:lvl>
    <w:lvl w:ilvl="3" w:tplc="AFC212B6" w:tentative="1">
      <w:start w:val="1"/>
      <w:numFmt w:val="bullet"/>
      <w:lvlText w:val=""/>
      <w:lvlJc w:val="left"/>
      <w:pPr>
        <w:tabs>
          <w:tab w:val="num" w:pos="3240"/>
        </w:tabs>
        <w:ind w:left="3240" w:hanging="360"/>
      </w:pPr>
      <w:rPr>
        <w:rFonts w:ascii="Symbol" w:hAnsi="Symbol" w:hint="default"/>
      </w:rPr>
    </w:lvl>
    <w:lvl w:ilvl="4" w:tplc="5650D7BC" w:tentative="1">
      <w:start w:val="1"/>
      <w:numFmt w:val="bullet"/>
      <w:lvlText w:val=""/>
      <w:lvlJc w:val="left"/>
      <w:pPr>
        <w:tabs>
          <w:tab w:val="num" w:pos="3960"/>
        </w:tabs>
        <w:ind w:left="3960" w:hanging="360"/>
      </w:pPr>
      <w:rPr>
        <w:rFonts w:ascii="Symbol" w:hAnsi="Symbol" w:hint="default"/>
      </w:rPr>
    </w:lvl>
    <w:lvl w:ilvl="5" w:tplc="E8E8A080" w:tentative="1">
      <w:start w:val="1"/>
      <w:numFmt w:val="bullet"/>
      <w:lvlText w:val=""/>
      <w:lvlJc w:val="left"/>
      <w:pPr>
        <w:tabs>
          <w:tab w:val="num" w:pos="4680"/>
        </w:tabs>
        <w:ind w:left="4680" w:hanging="360"/>
      </w:pPr>
      <w:rPr>
        <w:rFonts w:ascii="Symbol" w:hAnsi="Symbol" w:hint="default"/>
      </w:rPr>
    </w:lvl>
    <w:lvl w:ilvl="6" w:tplc="C3D68854" w:tentative="1">
      <w:start w:val="1"/>
      <w:numFmt w:val="bullet"/>
      <w:lvlText w:val=""/>
      <w:lvlJc w:val="left"/>
      <w:pPr>
        <w:tabs>
          <w:tab w:val="num" w:pos="5400"/>
        </w:tabs>
        <w:ind w:left="5400" w:hanging="360"/>
      </w:pPr>
      <w:rPr>
        <w:rFonts w:ascii="Symbol" w:hAnsi="Symbol" w:hint="default"/>
      </w:rPr>
    </w:lvl>
    <w:lvl w:ilvl="7" w:tplc="70BEBEBE" w:tentative="1">
      <w:start w:val="1"/>
      <w:numFmt w:val="bullet"/>
      <w:lvlText w:val=""/>
      <w:lvlJc w:val="left"/>
      <w:pPr>
        <w:tabs>
          <w:tab w:val="num" w:pos="6120"/>
        </w:tabs>
        <w:ind w:left="6120" w:hanging="360"/>
      </w:pPr>
      <w:rPr>
        <w:rFonts w:ascii="Symbol" w:hAnsi="Symbol" w:hint="default"/>
      </w:rPr>
    </w:lvl>
    <w:lvl w:ilvl="8" w:tplc="37B0AB6E" w:tentative="1">
      <w:start w:val="1"/>
      <w:numFmt w:val="bullet"/>
      <w:lvlText w:val=""/>
      <w:lvlJc w:val="left"/>
      <w:pPr>
        <w:tabs>
          <w:tab w:val="num" w:pos="6840"/>
        </w:tabs>
        <w:ind w:left="6840" w:hanging="360"/>
      </w:pPr>
      <w:rPr>
        <w:rFonts w:ascii="Symbol" w:hAnsi="Symbol" w:hint="default"/>
      </w:rPr>
    </w:lvl>
  </w:abstractNum>
  <w:abstractNum w:abstractNumId="24" w15:restartNumberingAfterBreak="0">
    <w:nsid w:val="6DBA4280"/>
    <w:multiLevelType w:val="hybridMultilevel"/>
    <w:tmpl w:val="80084086"/>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3B557A"/>
    <w:multiLevelType w:val="hybridMultilevel"/>
    <w:tmpl w:val="ED72C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8611BB"/>
    <w:multiLevelType w:val="hybridMultilevel"/>
    <w:tmpl w:val="DA266E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CA34DC2"/>
    <w:multiLevelType w:val="hybridMultilevel"/>
    <w:tmpl w:val="6FD496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2"/>
  </w:num>
  <w:num w:numId="2">
    <w:abstractNumId w:val="10"/>
  </w:num>
  <w:num w:numId="3">
    <w:abstractNumId w:val="14"/>
  </w:num>
  <w:num w:numId="4">
    <w:abstractNumId w:val="12"/>
  </w:num>
  <w:num w:numId="5">
    <w:abstractNumId w:val="23"/>
  </w:num>
  <w:num w:numId="6">
    <w:abstractNumId w:val="13"/>
  </w:num>
  <w:num w:numId="7">
    <w:abstractNumId w:val="16"/>
  </w:num>
  <w:num w:numId="8">
    <w:abstractNumId w:val="18"/>
  </w:num>
  <w:num w:numId="9">
    <w:abstractNumId w:val="17"/>
  </w:num>
  <w:num w:numId="10">
    <w:abstractNumId w:val="25"/>
  </w:num>
  <w:num w:numId="11">
    <w:abstractNumId w:val="26"/>
  </w:num>
  <w:num w:numId="12">
    <w:abstractNumId w:val="15"/>
  </w:num>
  <w:num w:numId="13">
    <w:abstractNumId w:val="11"/>
  </w:num>
  <w:num w:numId="14">
    <w:abstractNumId w:val="27"/>
  </w:num>
  <w:num w:numId="15">
    <w:abstractNumId w:val="24"/>
  </w:num>
  <w:num w:numId="16">
    <w:abstractNumId w:val="19"/>
  </w:num>
  <w:num w:numId="17">
    <w:abstractNumId w:val="21"/>
  </w:num>
  <w:num w:numId="18">
    <w:abstractNumId w:val="20"/>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61"/>
    <w:rsid w:val="00060A24"/>
    <w:rsid w:val="000A45DF"/>
    <w:rsid w:val="001E38A7"/>
    <w:rsid w:val="001F5733"/>
    <w:rsid w:val="00226A84"/>
    <w:rsid w:val="002B732A"/>
    <w:rsid w:val="00314844"/>
    <w:rsid w:val="003645FB"/>
    <w:rsid w:val="003B7CCF"/>
    <w:rsid w:val="003F358B"/>
    <w:rsid w:val="005D3A87"/>
    <w:rsid w:val="00634B01"/>
    <w:rsid w:val="006A4D42"/>
    <w:rsid w:val="00717757"/>
    <w:rsid w:val="00717AFE"/>
    <w:rsid w:val="008168BA"/>
    <w:rsid w:val="00835057"/>
    <w:rsid w:val="008A6941"/>
    <w:rsid w:val="008C26D6"/>
    <w:rsid w:val="008C7F17"/>
    <w:rsid w:val="008F76C6"/>
    <w:rsid w:val="009B00C9"/>
    <w:rsid w:val="009B3E09"/>
    <w:rsid w:val="009D332C"/>
    <w:rsid w:val="00AF78B3"/>
    <w:rsid w:val="00B00CFC"/>
    <w:rsid w:val="00B26CD3"/>
    <w:rsid w:val="00C101E4"/>
    <w:rsid w:val="00C543A7"/>
    <w:rsid w:val="00C8181E"/>
    <w:rsid w:val="00CD0861"/>
    <w:rsid w:val="00D00CFE"/>
    <w:rsid w:val="00D31BDC"/>
    <w:rsid w:val="00E14FD9"/>
    <w:rsid w:val="00ED364A"/>
    <w:rsid w:val="00ED5A0A"/>
    <w:rsid w:val="00F61A3A"/>
    <w:rsid w:val="00FB066E"/>
    <w:rsid w:val="00FC0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655F"/>
  <w15:chartTrackingRefBased/>
  <w15:docId w15:val="{E5039726-5130-44F0-96D3-93522097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8A7"/>
    <w:pPr>
      <w:spacing w:after="240" w:line="240" w:lineRule="auto"/>
    </w:pPr>
    <w:rPr>
      <w:rFonts w:ascii="Calibri" w:eastAsia="Times New Roman" w:hAnsi="Calibri" w:cs="Times New Roman"/>
      <w:sz w:val="24"/>
      <w:szCs w:val="24"/>
    </w:rPr>
  </w:style>
  <w:style w:type="paragraph" w:styleId="Heading1">
    <w:name w:val="heading 1"/>
    <w:basedOn w:val="Normal"/>
    <w:next w:val="Normal"/>
    <w:link w:val="Heading1Char"/>
    <w:uiPriority w:val="9"/>
    <w:qFormat/>
    <w:rsid w:val="00D00CFE"/>
    <w:pPr>
      <w:keepNext/>
      <w:keepLines/>
      <w:spacing w:before="240" w:after="120"/>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8C26D6"/>
    <w:pPr>
      <w:keepNext/>
      <w:keepLines/>
      <w:spacing w:before="16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C543A7"/>
    <w:pPr>
      <w:keepNext/>
      <w:keepLines/>
      <w:spacing w:before="40" w:after="12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32C"/>
    <w:pPr>
      <w:ind w:left="720"/>
      <w:contextualSpacing/>
    </w:pPr>
  </w:style>
  <w:style w:type="table" w:styleId="TableGrid">
    <w:name w:val="Table Grid"/>
    <w:basedOn w:val="TableNormal"/>
    <w:uiPriority w:val="39"/>
    <w:rsid w:val="001F5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45DF"/>
    <w:rPr>
      <w:color w:val="0563C1" w:themeColor="hyperlink"/>
      <w:u w:val="single"/>
    </w:rPr>
  </w:style>
  <w:style w:type="character" w:styleId="UnresolvedMention">
    <w:name w:val="Unresolved Mention"/>
    <w:basedOn w:val="DefaultParagraphFont"/>
    <w:uiPriority w:val="99"/>
    <w:semiHidden/>
    <w:unhideWhenUsed/>
    <w:rsid w:val="000A45DF"/>
    <w:rPr>
      <w:color w:val="605E5C"/>
      <w:shd w:val="clear" w:color="auto" w:fill="E1DFDD"/>
    </w:rPr>
  </w:style>
  <w:style w:type="character" w:styleId="FollowedHyperlink">
    <w:name w:val="FollowedHyperlink"/>
    <w:basedOn w:val="DefaultParagraphFont"/>
    <w:uiPriority w:val="99"/>
    <w:semiHidden/>
    <w:unhideWhenUsed/>
    <w:rsid w:val="00314844"/>
    <w:rPr>
      <w:color w:val="954F72" w:themeColor="followedHyperlink"/>
      <w:u w:val="single"/>
    </w:rPr>
  </w:style>
  <w:style w:type="character" w:customStyle="1" w:styleId="Heading1Char">
    <w:name w:val="Heading 1 Char"/>
    <w:basedOn w:val="DefaultParagraphFont"/>
    <w:link w:val="Heading1"/>
    <w:uiPriority w:val="9"/>
    <w:rsid w:val="00D00CFE"/>
    <w:rPr>
      <w:rFonts w:ascii="Calibri" w:eastAsiaTheme="majorEastAsia" w:hAnsi="Calibri" w:cstheme="majorBidi"/>
      <w:b/>
      <w:sz w:val="52"/>
      <w:szCs w:val="32"/>
    </w:rPr>
  </w:style>
  <w:style w:type="character" w:customStyle="1" w:styleId="Heading2Char">
    <w:name w:val="Heading 2 Char"/>
    <w:basedOn w:val="DefaultParagraphFont"/>
    <w:link w:val="Heading2"/>
    <w:uiPriority w:val="9"/>
    <w:rsid w:val="008C26D6"/>
    <w:rPr>
      <w:rFonts w:ascii="Calibri" w:eastAsiaTheme="majorEastAsia" w:hAnsi="Calibri" w:cstheme="majorBidi"/>
      <w:b/>
      <w:sz w:val="28"/>
      <w:szCs w:val="26"/>
    </w:rPr>
  </w:style>
  <w:style w:type="paragraph" w:styleId="TOC1">
    <w:name w:val="toc 1"/>
    <w:basedOn w:val="Normal"/>
    <w:next w:val="Normal"/>
    <w:autoRedefine/>
    <w:uiPriority w:val="39"/>
    <w:unhideWhenUsed/>
    <w:rsid w:val="008C26D6"/>
    <w:pPr>
      <w:spacing w:before="120" w:after="220"/>
    </w:pPr>
  </w:style>
  <w:style w:type="paragraph" w:styleId="ListBullet">
    <w:name w:val="List Bullet"/>
    <w:basedOn w:val="Normal"/>
    <w:uiPriority w:val="99"/>
    <w:unhideWhenUsed/>
    <w:rsid w:val="001E38A7"/>
    <w:pPr>
      <w:numPr>
        <w:numId w:val="19"/>
      </w:numPr>
      <w:contextualSpacing/>
    </w:pPr>
  </w:style>
  <w:style w:type="character" w:customStyle="1" w:styleId="Heading3Char">
    <w:name w:val="Heading 3 Char"/>
    <w:basedOn w:val="DefaultParagraphFont"/>
    <w:link w:val="Heading3"/>
    <w:uiPriority w:val="9"/>
    <w:rsid w:val="00C543A7"/>
    <w:rPr>
      <w:rFonts w:ascii="Calibri" w:eastAsiaTheme="majorEastAsia" w:hAnsi="Calibri" w:cstheme="majorBidi"/>
      <w:b/>
      <w:sz w:val="24"/>
      <w:szCs w:val="24"/>
    </w:rPr>
  </w:style>
  <w:style w:type="paragraph" w:styleId="TOC2">
    <w:name w:val="toc 2"/>
    <w:basedOn w:val="Normal"/>
    <w:next w:val="Normal"/>
    <w:autoRedefine/>
    <w:uiPriority w:val="39"/>
    <w:unhideWhenUsed/>
    <w:rsid w:val="00C543A7"/>
    <w:pPr>
      <w:spacing w:after="100"/>
      <w:ind w:left="240"/>
    </w:pPr>
  </w:style>
  <w:style w:type="paragraph" w:styleId="TOC3">
    <w:name w:val="toc 3"/>
    <w:basedOn w:val="Normal"/>
    <w:next w:val="Normal"/>
    <w:autoRedefine/>
    <w:uiPriority w:val="39"/>
    <w:unhideWhenUsed/>
    <w:rsid w:val="00C543A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ldford.gov.uk/article/18936/Safer-Guildford-Partnership" TargetMode="External"/><Relationship Id="rId3" Type="http://schemas.openxmlformats.org/officeDocument/2006/relationships/styles" Target="styles.xml"/><Relationship Id="rId7" Type="http://schemas.openxmlformats.org/officeDocument/2006/relationships/hyperlink" Target="https://mycouncil.surreycc.gov.uk/documents/s78562/Item%203%20-%20Annex%201%20-%20FINAL%20DRAFT%20Surrey%20Community%20Safety%20Agreement%202021-202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6DBB7-6C03-48A2-B4CD-9E4C72C03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1001</Words>
  <Characters>5707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James</dc:creator>
  <cp:keywords/>
  <dc:description/>
  <cp:lastModifiedBy>Gill Paddington</cp:lastModifiedBy>
  <cp:revision>2</cp:revision>
  <dcterms:created xsi:type="dcterms:W3CDTF">2022-07-07T08:33:00Z</dcterms:created>
  <dcterms:modified xsi:type="dcterms:W3CDTF">2022-07-07T08:33:00Z</dcterms:modified>
</cp:coreProperties>
</file>